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8989C">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黑体"/>
          <w:b w:val="0"/>
          <w:bCs w:val="0"/>
          <w:sz w:val="36"/>
          <w:szCs w:val="44"/>
          <w:lang w:eastAsia="zh-CN"/>
        </w:rPr>
      </w:pPr>
      <w:bookmarkStart w:id="0" w:name="_GoBack"/>
      <w:r>
        <w:rPr>
          <w:rFonts w:hint="eastAsia" w:ascii="黑体" w:hAnsi="黑体" w:eastAsia="黑体" w:cs="黑体"/>
          <w:b w:val="0"/>
          <w:bCs w:val="0"/>
          <w:sz w:val="36"/>
          <w:szCs w:val="44"/>
          <w:lang w:eastAsia="zh-CN"/>
        </w:rPr>
        <w:t>《江西绿色生态</w:t>
      </w:r>
      <w:r>
        <w:rPr>
          <w:rFonts w:hint="eastAsia" w:ascii="黑体" w:hAnsi="黑体" w:eastAsia="黑体" w:cs="黑体"/>
          <w:b w:val="0"/>
          <w:bCs w:val="0"/>
          <w:sz w:val="36"/>
          <w:szCs w:val="44"/>
          <w:lang w:val="en-US" w:eastAsia="zh-CN"/>
        </w:rPr>
        <w:t xml:space="preserve"> </w:t>
      </w:r>
      <w:r>
        <w:rPr>
          <w:rFonts w:hint="default" w:ascii="黑体" w:hAnsi="黑体" w:eastAsia="黑体" w:cs="黑体"/>
          <w:b w:val="0"/>
          <w:bCs w:val="0"/>
          <w:sz w:val="36"/>
          <w:szCs w:val="44"/>
          <w:lang w:eastAsia="zh-CN"/>
        </w:rPr>
        <w:t>普通黄铜带材</w:t>
      </w:r>
      <w:r>
        <w:rPr>
          <w:rFonts w:hint="eastAsia" w:ascii="黑体" w:hAnsi="黑体" w:eastAsia="黑体" w:cs="黑体"/>
          <w:b w:val="0"/>
          <w:bCs w:val="0"/>
          <w:sz w:val="36"/>
          <w:szCs w:val="44"/>
          <w:lang w:eastAsia="zh-CN"/>
        </w:rPr>
        <w:t>》</w:t>
      </w:r>
    </w:p>
    <w:p w14:paraId="1A3DD07B">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黑体"/>
          <w:b w:val="0"/>
          <w:bCs w:val="0"/>
          <w:sz w:val="36"/>
          <w:szCs w:val="44"/>
          <w:lang w:eastAsia="zh-CN"/>
        </w:rPr>
      </w:pPr>
      <w:r>
        <w:rPr>
          <w:rFonts w:hint="eastAsia" w:ascii="黑体" w:hAnsi="黑体" w:eastAsia="黑体" w:cs="黑体"/>
          <w:b w:val="0"/>
          <w:bCs w:val="0"/>
          <w:sz w:val="36"/>
          <w:szCs w:val="44"/>
          <w:lang w:val="en-US" w:eastAsia="zh-CN"/>
        </w:rPr>
        <w:t>团体标准</w:t>
      </w:r>
      <w:r>
        <w:rPr>
          <w:rFonts w:hint="eastAsia" w:ascii="黑体" w:hAnsi="黑体" w:eastAsia="黑体" w:cs="黑体"/>
          <w:b w:val="0"/>
          <w:bCs w:val="0"/>
          <w:sz w:val="36"/>
          <w:szCs w:val="44"/>
          <w:lang w:eastAsia="zh-CN"/>
        </w:rPr>
        <w:t>编制说明</w:t>
      </w:r>
    </w:p>
    <w:bookmarkEnd w:id="0"/>
    <w:p w14:paraId="46BDC365">
      <w:pPr>
        <w:pStyle w:val="8"/>
        <w:numPr>
          <w:ilvl w:val="0"/>
          <w:numId w:val="1"/>
        </w:numPr>
        <w:bidi w:val="0"/>
        <w:rPr>
          <w:rFonts w:hint="eastAsia" w:ascii="黑体" w:hAnsi="黑体" w:eastAsia="黑体" w:cs="黑体"/>
          <w:b w:val="0"/>
          <w:bCs w:val="0"/>
          <w:sz w:val="32"/>
          <w:szCs w:val="40"/>
          <w:lang w:val="en-US" w:eastAsia="zh-CN"/>
        </w:rPr>
      </w:pPr>
      <w:r>
        <w:rPr>
          <w:rFonts w:hint="eastAsia" w:ascii="黑体" w:hAnsi="黑体" w:eastAsia="黑体" w:cs="黑体"/>
          <w:b w:val="0"/>
          <w:bCs w:val="0"/>
          <w:sz w:val="32"/>
          <w:szCs w:val="40"/>
          <w:lang w:val="en-US" w:eastAsia="zh-CN"/>
        </w:rPr>
        <w:t>项目来源</w:t>
      </w:r>
    </w:p>
    <w:p w14:paraId="7D05E17C">
      <w:pPr>
        <w:pStyle w:val="8"/>
        <w:numPr>
          <w:ilvl w:val="0"/>
          <w:numId w:val="0"/>
        </w:numPr>
        <w:bidi w:val="0"/>
        <w:spacing w:line="360" w:lineRule="auto"/>
        <w:ind w:firstLine="640" w:firstLineChars="200"/>
        <w:rPr>
          <w:rFonts w:hint="eastAsia"/>
          <w:color w:val="auto"/>
          <w:sz w:val="28"/>
          <w:szCs w:val="24"/>
          <w:highlight w:val="none"/>
          <w:lang w:val="en-US" w:eastAsia="zh-CN"/>
        </w:rPr>
      </w:pPr>
      <w:r>
        <w:rPr>
          <w:rFonts w:hint="eastAsia" w:ascii="仿宋" w:hAnsi="仿宋" w:eastAsia="仿宋" w:cs="仿宋"/>
          <w:color w:val="auto"/>
          <w:sz w:val="32"/>
          <w:szCs w:val="28"/>
          <w:highlight w:val="none"/>
          <w:lang w:val="en-US" w:eastAsia="zh-CN"/>
        </w:rPr>
        <w:t>为引领我省的</w:t>
      </w:r>
      <w:r>
        <w:rPr>
          <w:rFonts w:hint="default" w:ascii="仿宋" w:hAnsi="仿宋" w:eastAsia="仿宋" w:cs="仿宋"/>
          <w:color w:val="auto"/>
          <w:sz w:val="32"/>
          <w:szCs w:val="28"/>
          <w:highlight w:val="none"/>
          <w:lang w:eastAsia="zh-CN"/>
        </w:rPr>
        <w:t>普通黄铜带材</w:t>
      </w:r>
      <w:r>
        <w:rPr>
          <w:rFonts w:hint="eastAsia" w:ascii="仿宋" w:hAnsi="仿宋" w:eastAsia="仿宋" w:cs="仿宋"/>
          <w:color w:val="auto"/>
          <w:sz w:val="32"/>
          <w:szCs w:val="28"/>
          <w:highlight w:val="none"/>
          <w:lang w:val="en-US" w:eastAsia="zh-CN"/>
        </w:rPr>
        <w:t xml:space="preserve">产业高质量发展，填补“江西绿色生态 </w:t>
      </w:r>
      <w:r>
        <w:rPr>
          <w:rFonts w:hint="default" w:ascii="仿宋" w:hAnsi="仿宋" w:eastAsia="仿宋" w:cs="仿宋"/>
          <w:color w:val="auto"/>
          <w:sz w:val="32"/>
          <w:szCs w:val="28"/>
          <w:highlight w:val="none"/>
          <w:lang w:eastAsia="zh-CN"/>
        </w:rPr>
        <w:t>普通黄铜带材</w:t>
      </w:r>
      <w:r>
        <w:rPr>
          <w:rFonts w:hint="eastAsia" w:ascii="仿宋" w:hAnsi="仿宋" w:eastAsia="仿宋" w:cs="仿宋"/>
          <w:color w:val="auto"/>
          <w:sz w:val="32"/>
          <w:szCs w:val="28"/>
          <w:highlight w:val="none"/>
          <w:lang w:val="en-US" w:eastAsia="zh-CN"/>
        </w:rPr>
        <w:t>”的标准空白，支撑我省</w:t>
      </w:r>
      <w:r>
        <w:rPr>
          <w:rFonts w:hint="default" w:ascii="仿宋" w:hAnsi="仿宋" w:eastAsia="仿宋" w:cs="仿宋"/>
          <w:color w:val="auto"/>
          <w:sz w:val="32"/>
          <w:szCs w:val="28"/>
          <w:highlight w:val="none"/>
          <w:lang w:eastAsia="zh-CN"/>
        </w:rPr>
        <w:t>普通黄铜带材</w:t>
      </w:r>
      <w:r>
        <w:rPr>
          <w:rFonts w:hint="eastAsia" w:ascii="仿宋" w:hAnsi="仿宋" w:eastAsia="仿宋" w:cs="仿宋"/>
          <w:color w:val="auto"/>
          <w:sz w:val="32"/>
          <w:szCs w:val="28"/>
          <w:highlight w:val="none"/>
          <w:lang w:val="en-US" w:eastAsia="zh-CN"/>
        </w:rPr>
        <w:t>企业开展“江西绿色生态”区域品牌认证，经国家铜及铜产品质量检验检测中心（江西）协调，由</w:t>
      </w:r>
      <w:r>
        <w:rPr>
          <w:rFonts w:hint="default" w:ascii="仿宋" w:hAnsi="仿宋" w:eastAsia="仿宋" w:cs="仿宋"/>
          <w:color w:val="auto"/>
          <w:sz w:val="32"/>
          <w:szCs w:val="28"/>
          <w:highlight w:val="none"/>
          <w:lang w:eastAsia="zh-CN"/>
        </w:rPr>
        <w:t>贵溪市正鑫铜业有限公司</w:t>
      </w:r>
      <w:r>
        <w:rPr>
          <w:rFonts w:hint="eastAsia" w:ascii="仿宋" w:hAnsi="仿宋" w:eastAsia="仿宋" w:cs="仿宋"/>
          <w:color w:val="auto"/>
          <w:sz w:val="32"/>
          <w:szCs w:val="28"/>
          <w:highlight w:val="none"/>
          <w:lang w:val="en-US" w:eastAsia="zh-CN"/>
        </w:rPr>
        <w:t>负责牵头，鹰潭市检验检测认证院、鹰潭贵宏工贸有限公司、江西雁龙再生资源有限公司参与制定该标准。</w:t>
      </w:r>
    </w:p>
    <w:p w14:paraId="10015591">
      <w:pPr>
        <w:numPr>
          <w:ilvl w:val="0"/>
          <w:numId w:val="0"/>
        </w:numPr>
        <w:ind w:firstLine="640" w:firstLineChars="200"/>
        <w:jc w:val="left"/>
        <w:rPr>
          <w:rFonts w:hint="eastAsia" w:ascii="黑体" w:hAnsi="黑体" w:eastAsia="黑体" w:cs="黑体"/>
          <w:b w:val="0"/>
          <w:bCs w:val="0"/>
          <w:color w:val="auto"/>
          <w:sz w:val="32"/>
          <w:szCs w:val="40"/>
          <w:highlight w:val="none"/>
          <w:lang w:val="en-US" w:eastAsia="zh-CN"/>
        </w:rPr>
      </w:pPr>
      <w:r>
        <w:rPr>
          <w:rFonts w:hint="eastAsia" w:ascii="黑体" w:hAnsi="黑体" w:eastAsia="黑体" w:cs="黑体"/>
          <w:b w:val="0"/>
          <w:bCs w:val="0"/>
          <w:color w:val="auto"/>
          <w:sz w:val="32"/>
          <w:szCs w:val="40"/>
          <w:highlight w:val="none"/>
          <w:lang w:val="en-US" w:eastAsia="zh-CN"/>
        </w:rPr>
        <w:t>二、起草小组</w:t>
      </w:r>
    </w:p>
    <w:p w14:paraId="6573164C">
      <w:pPr>
        <w:pStyle w:val="8"/>
        <w:bidi w:val="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该标准由江西绿色生态品牌建设促进会提出并归口。标准起草小组主要由</w:t>
      </w:r>
      <w:r>
        <w:rPr>
          <w:rFonts w:hint="default" w:ascii="仿宋" w:hAnsi="仿宋" w:eastAsia="仿宋" w:cs="仿宋"/>
          <w:color w:val="auto"/>
          <w:sz w:val="32"/>
          <w:szCs w:val="32"/>
          <w:highlight w:val="none"/>
          <w:lang w:eastAsia="zh-CN"/>
        </w:rPr>
        <w:t>贵溪市正鑫铜业有限公司</w:t>
      </w:r>
      <w:r>
        <w:rPr>
          <w:rFonts w:hint="eastAsia" w:ascii="仿宋" w:hAnsi="仿宋" w:eastAsia="仿宋" w:cs="仿宋"/>
          <w:color w:val="auto"/>
          <w:sz w:val="32"/>
          <w:szCs w:val="32"/>
          <w:highlight w:val="none"/>
          <w:lang w:val="en-US" w:eastAsia="zh-CN"/>
        </w:rPr>
        <w:t>负责牵头，以及国家铜及铜产品质量检验检测中心（江西）、鹰潭市检验检测认证院、</w:t>
      </w:r>
      <w:r>
        <w:rPr>
          <w:rFonts w:hint="eastAsia" w:ascii="仿宋" w:hAnsi="仿宋" w:eastAsia="仿宋" w:cs="仿宋"/>
          <w:color w:val="auto"/>
          <w:sz w:val="32"/>
          <w:szCs w:val="28"/>
          <w:highlight w:val="none"/>
          <w:lang w:val="en-US" w:eastAsia="zh-CN"/>
        </w:rPr>
        <w:t>鹰潭贵宏工贸有限公司、江西雁龙再生资源有限公司</w:t>
      </w:r>
      <w:r>
        <w:rPr>
          <w:rFonts w:hint="eastAsia" w:ascii="仿宋" w:hAnsi="仿宋" w:eastAsia="仿宋" w:cs="仿宋"/>
          <w:color w:val="auto"/>
          <w:sz w:val="32"/>
          <w:szCs w:val="32"/>
          <w:highlight w:val="none"/>
          <w:lang w:val="en-US" w:eastAsia="zh-CN"/>
        </w:rPr>
        <w:t>、贵溪市市场监督管理局、鹰潭市市场监督管理局等单位组成。</w:t>
      </w:r>
    </w:p>
    <w:p w14:paraId="5DFF5CFE">
      <w:pPr>
        <w:numPr>
          <w:ilvl w:val="0"/>
          <w:numId w:val="0"/>
        </w:numPr>
        <w:ind w:leftChars="200" w:firstLine="320" w:firstLineChars="100"/>
        <w:jc w:val="both"/>
        <w:rPr>
          <w:rFonts w:hint="eastAsia" w:ascii="黑体" w:hAnsi="黑体" w:eastAsia="黑体" w:cs="黑体"/>
          <w:b w:val="0"/>
          <w:bCs w:val="0"/>
          <w:color w:val="auto"/>
          <w:sz w:val="32"/>
          <w:szCs w:val="40"/>
          <w:lang w:val="en-US" w:eastAsia="zh-CN"/>
        </w:rPr>
      </w:pPr>
      <w:r>
        <w:rPr>
          <w:rFonts w:hint="eastAsia" w:ascii="黑体" w:hAnsi="黑体" w:eastAsia="黑体" w:cs="黑体"/>
          <w:b w:val="0"/>
          <w:bCs w:val="0"/>
          <w:color w:val="auto"/>
          <w:sz w:val="32"/>
          <w:szCs w:val="40"/>
          <w:lang w:val="en-US" w:eastAsia="zh-CN"/>
        </w:rPr>
        <w:t>三、标准先进性分析</w:t>
      </w:r>
    </w:p>
    <w:p w14:paraId="0803E7C3">
      <w:pPr>
        <w:numPr>
          <w:ilvl w:val="0"/>
          <w:numId w:val="0"/>
        </w:numPr>
        <w:ind w:firstLine="640" w:firstLineChars="200"/>
        <w:jc w:val="both"/>
        <w:rPr>
          <w:rFonts w:hint="eastAsia" w:ascii="仿宋" w:hAnsi="仿宋" w:eastAsia="仿宋" w:cs="仿宋"/>
          <w:b w:val="0"/>
          <w:bCs w:val="0"/>
          <w:color w:val="auto"/>
          <w:sz w:val="32"/>
          <w:szCs w:val="40"/>
          <w:lang w:val="en-US" w:eastAsia="zh-CN"/>
        </w:rPr>
      </w:pPr>
      <w:r>
        <w:rPr>
          <w:rFonts w:hint="eastAsia" w:ascii="仿宋" w:hAnsi="仿宋" w:eastAsia="仿宋" w:cs="仿宋"/>
          <w:b w:val="0"/>
          <w:bCs w:val="0"/>
          <w:color w:val="auto"/>
          <w:sz w:val="32"/>
          <w:szCs w:val="40"/>
          <w:lang w:val="en-US" w:eastAsia="zh-CN"/>
        </w:rPr>
        <w:t>本标准遵循DB36/T 1138-2019《“江西绿色生态”品牌评价要求》的要求，从资源节约、环境保护、生态协同、质量引领四个一级指标入手，设计对应的二级指标。</w:t>
      </w:r>
    </w:p>
    <w:p w14:paraId="02952B3E">
      <w:pPr>
        <w:numPr>
          <w:ilvl w:val="0"/>
          <w:numId w:val="2"/>
        </w:numPr>
        <w:ind w:firstLine="643" w:firstLineChars="200"/>
        <w:jc w:val="both"/>
        <w:rPr>
          <w:rFonts w:hint="default" w:ascii="仿宋" w:hAnsi="仿宋" w:eastAsia="仿宋" w:cs="仿宋"/>
          <w:b/>
          <w:bCs/>
          <w:color w:val="auto"/>
          <w:sz w:val="32"/>
          <w:szCs w:val="40"/>
          <w:lang w:val="en-US" w:eastAsia="zh-CN"/>
        </w:rPr>
      </w:pPr>
      <w:r>
        <w:rPr>
          <w:rFonts w:hint="eastAsia" w:ascii="仿宋" w:hAnsi="仿宋" w:eastAsia="仿宋" w:cs="仿宋"/>
          <w:b/>
          <w:bCs/>
          <w:color w:val="auto"/>
          <w:sz w:val="32"/>
          <w:szCs w:val="40"/>
          <w:lang w:val="en-US" w:eastAsia="zh-CN"/>
        </w:rPr>
        <w:t>质量引领</w:t>
      </w:r>
    </w:p>
    <w:p w14:paraId="54B7C2C0">
      <w:pPr>
        <w:numPr>
          <w:ilvl w:val="0"/>
          <w:numId w:val="0"/>
        </w:numPr>
        <w:ind w:firstLine="643" w:firstLineChars="200"/>
        <w:jc w:val="both"/>
        <w:rPr>
          <w:rFonts w:hint="eastAsia" w:ascii="仿宋" w:hAnsi="仿宋" w:eastAsia="仿宋" w:cs="仿宋"/>
          <w:b/>
          <w:bCs/>
          <w:color w:val="auto"/>
          <w:sz w:val="32"/>
          <w:szCs w:val="40"/>
          <w:highlight w:val="none"/>
          <w:lang w:val="en-US" w:eastAsia="zh-CN"/>
        </w:rPr>
      </w:pPr>
      <w:r>
        <w:rPr>
          <w:rFonts w:hint="eastAsia" w:ascii="仿宋" w:hAnsi="仿宋" w:eastAsia="仿宋" w:cs="仿宋"/>
          <w:b/>
          <w:bCs/>
          <w:color w:val="auto"/>
          <w:sz w:val="32"/>
          <w:szCs w:val="40"/>
          <w:highlight w:val="none"/>
          <w:lang w:val="en-US" w:eastAsia="zh-CN"/>
        </w:rPr>
        <w:t>1.1指标先进性：</w:t>
      </w:r>
    </w:p>
    <w:p w14:paraId="61C9D382">
      <w:pPr>
        <w:numPr>
          <w:ilvl w:val="0"/>
          <w:numId w:val="0"/>
        </w:numPr>
        <w:ind w:firstLine="640" w:firstLineChars="200"/>
        <w:jc w:val="both"/>
        <w:rPr>
          <w:rFonts w:hint="eastAsia" w:ascii="仿宋" w:hAnsi="仿宋" w:eastAsia="仿宋" w:cs="仿宋"/>
          <w:b w:val="0"/>
          <w:bCs w:val="0"/>
          <w:color w:val="auto"/>
          <w:sz w:val="32"/>
          <w:szCs w:val="40"/>
          <w:lang w:val="en-US" w:eastAsia="zh-CN"/>
        </w:rPr>
      </w:pPr>
      <w:r>
        <w:rPr>
          <w:rFonts w:hint="eastAsia" w:ascii="仿宋" w:hAnsi="仿宋" w:eastAsia="仿宋" w:cs="仿宋"/>
          <w:b w:val="0"/>
          <w:bCs w:val="0"/>
          <w:color w:val="auto"/>
          <w:sz w:val="32"/>
          <w:szCs w:val="40"/>
          <w:lang w:val="en-US" w:eastAsia="zh-CN"/>
        </w:rPr>
        <w:t>单位产品能源消耗限额达到 GB 21350-2023 中5能耗限额等级2级要求；</w:t>
      </w:r>
    </w:p>
    <w:p w14:paraId="7AB16AD7">
      <w:pPr>
        <w:numPr>
          <w:ilvl w:val="0"/>
          <w:numId w:val="0"/>
        </w:numPr>
        <w:ind w:firstLine="640" w:firstLineChars="200"/>
        <w:jc w:val="both"/>
        <w:rPr>
          <w:rFonts w:hint="eastAsia" w:ascii="仿宋" w:hAnsi="仿宋" w:eastAsia="仿宋" w:cs="仿宋"/>
          <w:b w:val="0"/>
          <w:bCs w:val="0"/>
          <w:color w:val="auto"/>
          <w:sz w:val="32"/>
          <w:szCs w:val="40"/>
          <w:lang w:val="en-US" w:eastAsia="zh-CN"/>
        </w:rPr>
      </w:pPr>
      <w:r>
        <w:rPr>
          <w:rFonts w:hint="eastAsia" w:ascii="仿宋" w:hAnsi="仿宋" w:eastAsia="仿宋" w:cs="仿宋"/>
          <w:b w:val="0"/>
          <w:bCs w:val="0"/>
          <w:color w:val="auto"/>
          <w:sz w:val="32"/>
          <w:szCs w:val="40"/>
          <w:lang w:val="en-US" w:eastAsia="zh-CN"/>
        </w:rPr>
        <w:t>原材料综合利用率≥99.5%；</w:t>
      </w:r>
    </w:p>
    <w:p w14:paraId="76B37CB7">
      <w:pPr>
        <w:numPr>
          <w:ilvl w:val="0"/>
          <w:numId w:val="0"/>
        </w:numPr>
        <w:ind w:firstLine="640" w:firstLineChars="200"/>
        <w:jc w:val="both"/>
        <w:rPr>
          <w:rFonts w:hint="eastAsia" w:ascii="仿宋" w:hAnsi="仿宋" w:eastAsia="仿宋" w:cs="仿宋"/>
          <w:b w:val="0"/>
          <w:bCs w:val="0"/>
          <w:color w:val="auto"/>
          <w:sz w:val="32"/>
          <w:szCs w:val="40"/>
          <w:lang w:val="en-US" w:eastAsia="zh-CN"/>
        </w:rPr>
      </w:pPr>
      <w:r>
        <w:rPr>
          <w:rFonts w:hint="eastAsia" w:ascii="仿宋" w:hAnsi="仿宋" w:eastAsia="仿宋" w:cs="仿宋"/>
          <w:b w:val="0"/>
          <w:bCs w:val="0"/>
          <w:color w:val="auto"/>
          <w:sz w:val="32"/>
          <w:szCs w:val="40"/>
          <w:lang w:val="en-US" w:eastAsia="zh-CN"/>
        </w:rPr>
        <w:t>标准规定的Fe、Pb杂质含量及厚度偏差均比国家标准GB/T 2059《</w:t>
      </w:r>
      <w:r>
        <w:rPr>
          <w:rFonts w:hint="eastAsia" w:ascii="仿宋" w:hAnsi="仿宋" w:eastAsia="仿宋" w:cs="仿宋"/>
          <w:b w:val="0"/>
          <w:bCs w:val="0"/>
          <w:color w:val="auto"/>
          <w:sz w:val="32"/>
          <w:szCs w:val="40"/>
          <w:lang w:eastAsia="zh-CN"/>
        </w:rPr>
        <w:t>铜及铜合金带材</w:t>
      </w:r>
      <w:r>
        <w:rPr>
          <w:rFonts w:hint="eastAsia" w:ascii="仿宋" w:hAnsi="仿宋" w:eastAsia="仿宋" w:cs="仿宋"/>
          <w:b w:val="0"/>
          <w:bCs w:val="0"/>
          <w:color w:val="auto"/>
          <w:sz w:val="32"/>
          <w:szCs w:val="40"/>
          <w:lang w:val="en-US" w:eastAsia="zh-CN"/>
        </w:rPr>
        <w:t>》中要求更严。</w:t>
      </w:r>
    </w:p>
    <w:p w14:paraId="5DE4B36D">
      <w:pPr>
        <w:numPr>
          <w:ilvl w:val="0"/>
          <w:numId w:val="0"/>
        </w:numPr>
        <w:ind w:firstLine="643" w:firstLineChars="200"/>
        <w:jc w:val="both"/>
        <w:rPr>
          <w:rFonts w:hint="eastAsia" w:ascii="仿宋" w:hAnsi="仿宋" w:eastAsia="仿宋" w:cs="仿宋"/>
          <w:b/>
          <w:bCs/>
          <w:color w:val="auto"/>
          <w:sz w:val="32"/>
          <w:szCs w:val="40"/>
          <w:lang w:val="en-US" w:eastAsia="zh-CN"/>
        </w:rPr>
      </w:pPr>
      <w:r>
        <w:rPr>
          <w:rFonts w:hint="eastAsia" w:ascii="仿宋" w:hAnsi="仿宋" w:eastAsia="仿宋" w:cs="仿宋"/>
          <w:b/>
          <w:bCs/>
          <w:color w:val="auto"/>
          <w:sz w:val="32"/>
          <w:szCs w:val="40"/>
          <w:lang w:val="en-US" w:eastAsia="zh-CN"/>
        </w:rPr>
        <w:t>1.2指标先进性定量说明：</w:t>
      </w:r>
    </w:p>
    <w:p w14:paraId="1D1375D2">
      <w:pPr>
        <w:numPr>
          <w:ilvl w:val="0"/>
          <w:numId w:val="0"/>
        </w:numPr>
        <w:ind w:firstLine="640" w:firstLineChars="200"/>
        <w:jc w:val="both"/>
        <w:rPr>
          <w:rFonts w:hint="eastAsia" w:ascii="仿宋" w:hAnsi="仿宋" w:eastAsia="仿宋" w:cs="仿宋"/>
          <w:b w:val="0"/>
          <w:bCs w:val="0"/>
          <w:color w:val="auto"/>
          <w:sz w:val="32"/>
          <w:szCs w:val="40"/>
          <w:lang w:val="en-US" w:eastAsia="zh-CN"/>
        </w:rPr>
      </w:pPr>
      <w:r>
        <w:rPr>
          <w:rFonts w:hint="eastAsia" w:ascii="仿宋" w:hAnsi="仿宋" w:eastAsia="仿宋" w:cs="仿宋"/>
          <w:b w:val="0"/>
          <w:bCs w:val="0"/>
          <w:color w:val="auto"/>
          <w:sz w:val="32"/>
          <w:szCs w:val="40"/>
          <w:lang w:val="en-US" w:eastAsia="zh-CN"/>
        </w:rPr>
        <w:t>1.2.1团标中引入了单位产品能源消耗限额的要求，要求达到2级能耗的标准；</w:t>
      </w:r>
    </w:p>
    <w:p w14:paraId="5362B902">
      <w:pPr>
        <w:pStyle w:val="4"/>
        <w:ind w:left="0" w:leftChars="0" w:firstLine="640" w:firstLineChars="200"/>
        <w:rPr>
          <w:rFonts w:hint="eastAsia" w:ascii="仿宋" w:hAnsi="仿宋" w:eastAsia="仿宋" w:cs="仿宋"/>
          <w:b w:val="0"/>
          <w:bCs w:val="0"/>
          <w:color w:val="auto"/>
          <w:sz w:val="32"/>
          <w:szCs w:val="40"/>
          <w:lang w:val="en-US" w:eastAsia="zh-CN"/>
        </w:rPr>
      </w:pPr>
      <w:r>
        <w:rPr>
          <w:rFonts w:hint="eastAsia" w:ascii="仿宋" w:hAnsi="仿宋" w:eastAsia="仿宋" w:cs="仿宋"/>
          <w:b w:val="0"/>
          <w:bCs w:val="0"/>
          <w:color w:val="auto"/>
          <w:sz w:val="32"/>
          <w:szCs w:val="40"/>
          <w:lang w:val="en-US" w:eastAsia="zh-CN"/>
        </w:rPr>
        <w:t>1.2.2 团标中引入了原材料综合利用率≥99.5%的要求；</w:t>
      </w:r>
    </w:p>
    <w:p w14:paraId="4B070DE8">
      <w:pPr>
        <w:pStyle w:val="4"/>
        <w:ind w:left="0" w:leftChars="0" w:firstLine="640" w:firstLineChars="200"/>
        <w:rPr>
          <w:rFonts w:hint="default" w:ascii="仿宋" w:hAnsi="仿宋" w:eastAsia="仿宋" w:cs="仿宋"/>
          <w:b w:val="0"/>
          <w:bCs w:val="0"/>
          <w:color w:val="auto"/>
          <w:sz w:val="32"/>
          <w:szCs w:val="40"/>
          <w:lang w:val="en-US" w:eastAsia="zh-CN"/>
        </w:rPr>
      </w:pPr>
      <w:r>
        <w:rPr>
          <w:rFonts w:hint="eastAsia" w:ascii="仿宋" w:hAnsi="仿宋" w:eastAsia="仿宋" w:cs="仿宋"/>
          <w:b w:val="0"/>
          <w:bCs w:val="0"/>
          <w:color w:val="auto"/>
          <w:sz w:val="32"/>
          <w:szCs w:val="40"/>
          <w:lang w:val="en-US" w:eastAsia="zh-CN"/>
        </w:rPr>
        <w:t>1.2.3标准规定的Fe、Pb杂质含量及厚度偏差均比国家标准GB/T 2059《铜及铜合金带材》中要求更严，具体指标对比见下表1、表2。</w:t>
      </w:r>
    </w:p>
    <w:p w14:paraId="455E6CFF">
      <w:pPr>
        <w:numPr>
          <w:ilvl w:val="0"/>
          <w:numId w:val="0"/>
        </w:numPr>
        <w:ind w:firstLine="640" w:firstLineChars="200"/>
        <w:jc w:val="both"/>
        <w:rPr>
          <w:rFonts w:hint="eastAsia" w:ascii="仿宋" w:hAnsi="仿宋" w:eastAsia="仿宋" w:cs="仿宋"/>
          <w:b w:val="0"/>
          <w:bCs w:val="0"/>
          <w:color w:val="auto"/>
          <w:sz w:val="32"/>
          <w:szCs w:val="40"/>
          <w:lang w:val="en-US" w:eastAsia="zh-CN"/>
        </w:rPr>
      </w:pPr>
      <w:r>
        <w:rPr>
          <w:rFonts w:hint="eastAsia" w:ascii="仿宋" w:hAnsi="仿宋" w:eastAsia="仿宋" w:cs="仿宋"/>
          <w:b w:val="0"/>
          <w:bCs w:val="0"/>
          <w:color w:val="auto"/>
          <w:sz w:val="32"/>
          <w:szCs w:val="40"/>
          <w:lang w:val="en-US" w:eastAsia="zh-CN"/>
        </w:rPr>
        <w:t>“质量引领”属性的二级指标中化学成分Fe、Pb杂质含量及厚度偏差比国标限定值更严。检验方法均按照国家标准GB/T 2059《</w:t>
      </w:r>
      <w:r>
        <w:rPr>
          <w:rFonts w:hint="eastAsia" w:ascii="仿宋" w:hAnsi="仿宋" w:eastAsia="仿宋" w:cs="仿宋"/>
          <w:b w:val="0"/>
          <w:bCs w:val="0"/>
          <w:color w:val="auto"/>
          <w:sz w:val="32"/>
          <w:szCs w:val="40"/>
          <w:lang w:eastAsia="zh-CN"/>
        </w:rPr>
        <w:t>铜及铜合金带材</w:t>
      </w:r>
      <w:r>
        <w:rPr>
          <w:rFonts w:hint="eastAsia" w:ascii="仿宋" w:hAnsi="仿宋" w:eastAsia="仿宋" w:cs="仿宋"/>
          <w:b w:val="0"/>
          <w:bCs w:val="0"/>
          <w:color w:val="auto"/>
          <w:sz w:val="32"/>
          <w:szCs w:val="40"/>
          <w:lang w:val="en-US" w:eastAsia="zh-CN"/>
        </w:rPr>
        <w:t>》中方法进行检测。</w:t>
      </w:r>
    </w:p>
    <w:p w14:paraId="434CB6DA">
      <w:pPr>
        <w:numPr>
          <w:ilvl w:val="0"/>
          <w:numId w:val="0"/>
        </w:numPr>
        <w:jc w:val="center"/>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表1 “江西绿色生态”</w:t>
      </w:r>
      <w:r>
        <w:rPr>
          <w:rFonts w:hint="default" w:ascii="仿宋" w:hAnsi="仿宋" w:eastAsia="仿宋" w:cs="仿宋"/>
          <w:b w:val="0"/>
          <w:bCs w:val="0"/>
          <w:color w:val="auto"/>
          <w:sz w:val="28"/>
          <w:szCs w:val="28"/>
          <w:lang w:eastAsia="zh-CN"/>
        </w:rPr>
        <w:t>普通黄铜带材Fe、Pb杂质含量</w:t>
      </w:r>
      <w:r>
        <w:rPr>
          <w:rFonts w:hint="eastAsia" w:ascii="仿宋" w:hAnsi="仿宋" w:eastAsia="仿宋" w:cs="仿宋"/>
          <w:b w:val="0"/>
          <w:bCs w:val="0"/>
          <w:color w:val="auto"/>
          <w:sz w:val="28"/>
          <w:szCs w:val="28"/>
          <w:lang w:val="en-US" w:eastAsia="zh-CN"/>
        </w:rPr>
        <w:t>指标先进性分析</w:t>
      </w:r>
    </w:p>
    <w:tbl>
      <w:tblPr>
        <w:tblStyle w:val="5"/>
        <w:tblW w:w="464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90"/>
        <w:gridCol w:w="1540"/>
        <w:gridCol w:w="1608"/>
        <w:gridCol w:w="1592"/>
        <w:gridCol w:w="1679"/>
      </w:tblGrid>
      <w:tr w14:paraId="4417B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941" w:type="pct"/>
            <w:vMerge w:val="restart"/>
            <w:tcBorders>
              <w:top w:val="single" w:color="000000" w:sz="4" w:space="0"/>
              <w:left w:val="single" w:color="000000" w:sz="4" w:space="0"/>
              <w:right w:val="single" w:color="auto" w:sz="4" w:space="0"/>
            </w:tcBorders>
            <w:shd w:val="clear" w:color="auto" w:fill="auto"/>
            <w:noWrap/>
            <w:vAlign w:val="center"/>
          </w:tcPr>
          <w:p w14:paraId="012C7449">
            <w:pPr>
              <w:jc w:val="center"/>
              <w:rPr>
                <w:rFonts w:hint="eastAsia" w:ascii="宋体" w:hAnsi="宋体" w:cs="宋体"/>
                <w:sz w:val="18"/>
                <w:szCs w:val="18"/>
                <w:lang w:val="en-US" w:eastAsia="zh-CN"/>
              </w:rPr>
            </w:pPr>
            <w:r>
              <w:rPr>
                <w:rFonts w:hint="eastAsia" w:ascii="宋体" w:hAnsi="宋体" w:cs="宋体"/>
                <w:sz w:val="18"/>
                <w:szCs w:val="18"/>
                <w:lang w:val="en-US" w:eastAsia="zh-CN"/>
              </w:rPr>
              <w:t>牌号</w:t>
            </w:r>
          </w:p>
        </w:tc>
        <w:tc>
          <w:tcPr>
            <w:tcW w:w="1990"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5DD5FD1">
            <w:pPr>
              <w:jc w:val="center"/>
              <w:rPr>
                <w:rFonts w:hint="eastAsia" w:ascii="宋体" w:hAnsi="宋体" w:cs="宋体"/>
                <w:sz w:val="18"/>
                <w:szCs w:val="18"/>
                <w:lang w:val="en-US" w:eastAsia="zh-CN"/>
              </w:rPr>
            </w:pPr>
            <w:r>
              <w:rPr>
                <w:rFonts w:hint="eastAsia" w:ascii="宋体" w:hAnsi="宋体" w:cs="宋体"/>
                <w:sz w:val="18"/>
                <w:szCs w:val="18"/>
                <w:lang w:val="en-US" w:eastAsia="zh-CN"/>
              </w:rPr>
              <w:t>江西绿色生态团标要求</w:t>
            </w:r>
          </w:p>
        </w:tc>
        <w:tc>
          <w:tcPr>
            <w:tcW w:w="2067"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BE0CEE8">
            <w:pPr>
              <w:jc w:val="center"/>
              <w:rPr>
                <w:rFonts w:hint="eastAsia" w:ascii="宋体" w:hAnsi="宋体" w:cs="宋体"/>
                <w:sz w:val="18"/>
                <w:szCs w:val="18"/>
                <w:lang w:val="en-US" w:eastAsia="zh-CN"/>
              </w:rPr>
            </w:pPr>
            <w:r>
              <w:rPr>
                <w:rFonts w:hint="eastAsia" w:ascii="宋体" w:hAnsi="宋体" w:cs="宋体"/>
                <w:sz w:val="18"/>
                <w:szCs w:val="18"/>
                <w:lang w:val="en-US" w:eastAsia="zh-CN"/>
              </w:rPr>
              <w:t>国标要求</w:t>
            </w:r>
          </w:p>
        </w:tc>
      </w:tr>
      <w:tr w14:paraId="22211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941" w:type="pct"/>
            <w:vMerge w:val="continue"/>
            <w:tcBorders>
              <w:left w:val="single" w:color="000000" w:sz="4" w:space="0"/>
              <w:bottom w:val="single" w:color="000000" w:sz="4" w:space="0"/>
              <w:right w:val="single" w:color="auto" w:sz="4" w:space="0"/>
            </w:tcBorders>
            <w:shd w:val="clear" w:color="auto" w:fill="auto"/>
            <w:noWrap/>
            <w:vAlign w:val="center"/>
          </w:tcPr>
          <w:p w14:paraId="3072ECB7">
            <w:pPr>
              <w:jc w:val="center"/>
              <w:rPr>
                <w:rFonts w:hint="eastAsia" w:ascii="宋体" w:hAnsi="宋体" w:cs="宋体"/>
                <w:sz w:val="18"/>
                <w:szCs w:val="18"/>
                <w:lang w:val="en-US" w:eastAsia="zh-CN"/>
              </w:rPr>
            </w:pPr>
          </w:p>
        </w:tc>
        <w:tc>
          <w:tcPr>
            <w:tcW w:w="973" w:type="pct"/>
            <w:tcBorders>
              <w:top w:val="single" w:color="auto" w:sz="4" w:space="0"/>
              <w:left w:val="single" w:color="auto" w:sz="4" w:space="0"/>
              <w:bottom w:val="single" w:color="auto" w:sz="4" w:space="0"/>
              <w:right w:val="single" w:color="auto" w:sz="4" w:space="0"/>
            </w:tcBorders>
            <w:shd w:val="clear" w:color="auto" w:fill="auto"/>
            <w:noWrap/>
            <w:vAlign w:val="top"/>
          </w:tcPr>
          <w:p w14:paraId="0C7D6318">
            <w:pPr>
              <w:jc w:val="center"/>
              <w:rPr>
                <w:rFonts w:hint="eastAsia" w:ascii="宋体" w:hAnsi="宋体" w:cs="宋体"/>
                <w:sz w:val="18"/>
                <w:szCs w:val="18"/>
                <w:lang w:val="en-US" w:eastAsia="zh-CN"/>
              </w:rPr>
            </w:pPr>
            <w:r>
              <w:rPr>
                <w:rFonts w:hint="eastAsia" w:ascii="宋体" w:hAnsi="宋体" w:cs="宋体"/>
                <w:sz w:val="18"/>
                <w:szCs w:val="18"/>
                <w:lang w:val="en-US" w:eastAsia="zh-CN"/>
              </w:rPr>
              <w:t>Fe上限</w:t>
            </w:r>
          </w:p>
        </w:tc>
        <w:tc>
          <w:tcPr>
            <w:tcW w:w="1016" w:type="pct"/>
            <w:tcBorders>
              <w:top w:val="single" w:color="auto" w:sz="4" w:space="0"/>
              <w:left w:val="single" w:color="auto" w:sz="4" w:space="0"/>
              <w:bottom w:val="single" w:color="auto" w:sz="4" w:space="0"/>
              <w:right w:val="single" w:color="auto" w:sz="4" w:space="0"/>
            </w:tcBorders>
            <w:shd w:val="clear" w:color="auto" w:fill="auto"/>
            <w:noWrap/>
            <w:vAlign w:val="top"/>
          </w:tcPr>
          <w:p w14:paraId="4228D827">
            <w:pPr>
              <w:jc w:val="center"/>
              <w:rPr>
                <w:rFonts w:hint="eastAsia" w:ascii="宋体" w:hAnsi="宋体" w:cs="宋体"/>
                <w:sz w:val="18"/>
                <w:szCs w:val="18"/>
                <w:lang w:val="en-US" w:eastAsia="zh-CN"/>
              </w:rPr>
            </w:pPr>
            <w:r>
              <w:rPr>
                <w:rFonts w:hint="eastAsia" w:ascii="宋体" w:hAnsi="宋体" w:cs="宋体"/>
                <w:sz w:val="18"/>
                <w:szCs w:val="18"/>
                <w:lang w:val="en-US" w:eastAsia="zh-CN"/>
              </w:rPr>
              <w:t>Pb上限</w:t>
            </w:r>
          </w:p>
        </w:tc>
        <w:tc>
          <w:tcPr>
            <w:tcW w:w="1006" w:type="pct"/>
            <w:tcBorders>
              <w:top w:val="single" w:color="auto" w:sz="4" w:space="0"/>
              <w:left w:val="single" w:color="auto" w:sz="4" w:space="0"/>
              <w:bottom w:val="single" w:color="auto" w:sz="4" w:space="0"/>
              <w:right w:val="single" w:color="auto" w:sz="4" w:space="0"/>
            </w:tcBorders>
            <w:shd w:val="clear" w:color="auto" w:fill="auto"/>
            <w:noWrap/>
            <w:vAlign w:val="top"/>
          </w:tcPr>
          <w:p w14:paraId="362D8231">
            <w:pPr>
              <w:jc w:val="center"/>
              <w:rPr>
                <w:rFonts w:hint="eastAsia" w:ascii="宋体" w:hAnsi="宋体" w:cs="宋体"/>
                <w:sz w:val="18"/>
                <w:szCs w:val="18"/>
                <w:lang w:val="en-US" w:eastAsia="zh-CN"/>
              </w:rPr>
            </w:pPr>
            <w:r>
              <w:rPr>
                <w:rFonts w:hint="eastAsia" w:ascii="宋体" w:hAnsi="宋体" w:cs="宋体"/>
                <w:sz w:val="18"/>
                <w:szCs w:val="18"/>
                <w:lang w:val="en-US" w:eastAsia="zh-CN"/>
              </w:rPr>
              <w:t>Fe上限</w:t>
            </w:r>
          </w:p>
        </w:tc>
        <w:tc>
          <w:tcPr>
            <w:tcW w:w="1061" w:type="pct"/>
            <w:tcBorders>
              <w:top w:val="single" w:color="auto" w:sz="4" w:space="0"/>
              <w:left w:val="single" w:color="auto" w:sz="4" w:space="0"/>
              <w:bottom w:val="single" w:color="auto" w:sz="4" w:space="0"/>
              <w:right w:val="single" w:color="auto" w:sz="4" w:space="0"/>
            </w:tcBorders>
            <w:shd w:val="clear" w:color="auto" w:fill="auto"/>
            <w:noWrap/>
            <w:vAlign w:val="top"/>
          </w:tcPr>
          <w:p w14:paraId="3F2AE4DD">
            <w:pPr>
              <w:jc w:val="center"/>
              <w:rPr>
                <w:rFonts w:hint="eastAsia" w:ascii="宋体" w:hAnsi="宋体" w:cs="宋体"/>
                <w:sz w:val="18"/>
                <w:szCs w:val="18"/>
                <w:lang w:val="en-US" w:eastAsia="zh-CN"/>
              </w:rPr>
            </w:pPr>
            <w:r>
              <w:rPr>
                <w:rFonts w:hint="eastAsia" w:ascii="宋体" w:hAnsi="宋体" w:cs="宋体"/>
                <w:sz w:val="18"/>
                <w:szCs w:val="18"/>
                <w:lang w:val="en-US" w:eastAsia="zh-CN"/>
              </w:rPr>
              <w:t>Pb上限</w:t>
            </w:r>
          </w:p>
        </w:tc>
      </w:tr>
      <w:tr w14:paraId="1E669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941" w:type="pct"/>
            <w:tcBorders>
              <w:top w:val="single" w:color="000000" w:sz="4" w:space="0"/>
              <w:left w:val="single" w:color="000000" w:sz="4" w:space="0"/>
              <w:bottom w:val="single" w:color="000000" w:sz="4" w:space="0"/>
              <w:right w:val="single" w:color="auto" w:sz="4" w:space="0"/>
            </w:tcBorders>
            <w:shd w:val="clear" w:color="auto" w:fill="auto"/>
            <w:noWrap/>
            <w:vAlign w:val="top"/>
          </w:tcPr>
          <w:p w14:paraId="55029160">
            <w:pPr>
              <w:jc w:val="center"/>
              <w:rPr>
                <w:rFonts w:hint="eastAsia" w:ascii="宋体" w:hAnsi="宋体" w:cs="宋体"/>
                <w:sz w:val="18"/>
                <w:szCs w:val="18"/>
                <w:lang w:val="en-US" w:eastAsia="en-US"/>
              </w:rPr>
            </w:pPr>
            <w:r>
              <w:rPr>
                <w:rFonts w:hint="eastAsia" w:ascii="宋体" w:hAnsi="宋体" w:cs="宋体"/>
                <w:sz w:val="18"/>
                <w:szCs w:val="18"/>
                <w:lang w:val="en-US" w:eastAsia="zh-CN"/>
              </w:rPr>
              <w:t>H95</w:t>
            </w:r>
          </w:p>
        </w:tc>
        <w:tc>
          <w:tcPr>
            <w:tcW w:w="973" w:type="pct"/>
            <w:tcBorders>
              <w:top w:val="single" w:color="auto" w:sz="4" w:space="0"/>
              <w:left w:val="single" w:color="auto" w:sz="4" w:space="0"/>
              <w:bottom w:val="single" w:color="auto" w:sz="4" w:space="0"/>
              <w:right w:val="single" w:color="auto" w:sz="4" w:space="0"/>
            </w:tcBorders>
            <w:shd w:val="clear" w:color="auto" w:fill="auto"/>
            <w:noWrap/>
            <w:vAlign w:val="top"/>
          </w:tcPr>
          <w:p w14:paraId="50FBF35E">
            <w:pPr>
              <w:jc w:val="center"/>
              <w:rPr>
                <w:rFonts w:hint="eastAsia" w:ascii="宋体" w:hAnsi="宋体" w:cs="宋体"/>
                <w:sz w:val="18"/>
                <w:szCs w:val="18"/>
                <w:lang w:val="en-US" w:eastAsia="en-US"/>
              </w:rPr>
            </w:pPr>
            <w:r>
              <w:rPr>
                <w:rFonts w:hint="eastAsia" w:ascii="宋体" w:hAnsi="宋体" w:cs="宋体"/>
                <w:sz w:val="18"/>
                <w:szCs w:val="18"/>
                <w:lang w:val="en-US" w:eastAsia="zh-CN"/>
              </w:rPr>
              <w:t>0.035</w:t>
            </w:r>
          </w:p>
        </w:tc>
        <w:tc>
          <w:tcPr>
            <w:tcW w:w="1016" w:type="pct"/>
            <w:tcBorders>
              <w:top w:val="single" w:color="auto" w:sz="4" w:space="0"/>
              <w:left w:val="single" w:color="auto" w:sz="4" w:space="0"/>
              <w:bottom w:val="single" w:color="auto" w:sz="4" w:space="0"/>
              <w:right w:val="single" w:color="auto" w:sz="4" w:space="0"/>
            </w:tcBorders>
            <w:shd w:val="clear" w:color="auto" w:fill="auto"/>
            <w:noWrap/>
            <w:vAlign w:val="top"/>
          </w:tcPr>
          <w:p w14:paraId="1A004103">
            <w:pPr>
              <w:jc w:val="center"/>
              <w:rPr>
                <w:rFonts w:hint="eastAsia" w:ascii="宋体" w:hAnsi="宋体" w:cs="宋体"/>
                <w:sz w:val="18"/>
                <w:szCs w:val="18"/>
                <w:lang w:val="en-US" w:eastAsia="zh-CN"/>
              </w:rPr>
            </w:pPr>
            <w:r>
              <w:rPr>
                <w:rFonts w:hint="eastAsia" w:ascii="宋体" w:hAnsi="宋体" w:cs="宋体"/>
                <w:sz w:val="18"/>
                <w:szCs w:val="18"/>
                <w:lang w:val="en-US" w:eastAsia="zh-CN"/>
              </w:rPr>
              <w:t>0.015</w:t>
            </w:r>
          </w:p>
        </w:tc>
        <w:tc>
          <w:tcPr>
            <w:tcW w:w="1006" w:type="pct"/>
            <w:tcBorders>
              <w:top w:val="single" w:color="auto" w:sz="4" w:space="0"/>
              <w:left w:val="single" w:color="auto" w:sz="4" w:space="0"/>
              <w:bottom w:val="single" w:color="auto" w:sz="4" w:space="0"/>
              <w:right w:val="single" w:color="auto" w:sz="4" w:space="0"/>
            </w:tcBorders>
            <w:shd w:val="clear" w:color="auto" w:fill="auto"/>
            <w:noWrap/>
            <w:vAlign w:val="top"/>
          </w:tcPr>
          <w:p w14:paraId="2F5B385A">
            <w:pPr>
              <w:jc w:val="center"/>
              <w:rPr>
                <w:rFonts w:hint="eastAsia" w:ascii="宋体" w:hAnsi="宋体" w:cs="宋体"/>
                <w:sz w:val="18"/>
                <w:szCs w:val="18"/>
                <w:lang w:val="en-US" w:eastAsia="zh-CN"/>
              </w:rPr>
            </w:pPr>
            <w:r>
              <w:rPr>
                <w:rFonts w:hint="eastAsia" w:ascii="宋体" w:hAnsi="宋体" w:cs="宋体"/>
                <w:sz w:val="18"/>
                <w:szCs w:val="18"/>
                <w:lang w:val="en-US" w:eastAsia="zh-CN"/>
              </w:rPr>
              <w:t>0.05</w:t>
            </w:r>
          </w:p>
        </w:tc>
        <w:tc>
          <w:tcPr>
            <w:tcW w:w="1061" w:type="pct"/>
            <w:tcBorders>
              <w:top w:val="single" w:color="auto" w:sz="4" w:space="0"/>
              <w:left w:val="single" w:color="auto" w:sz="4" w:space="0"/>
              <w:bottom w:val="single" w:color="auto" w:sz="4" w:space="0"/>
              <w:right w:val="single" w:color="auto" w:sz="4" w:space="0"/>
            </w:tcBorders>
            <w:shd w:val="clear" w:color="auto" w:fill="auto"/>
            <w:noWrap/>
            <w:vAlign w:val="top"/>
          </w:tcPr>
          <w:p w14:paraId="2C040BAA">
            <w:pPr>
              <w:jc w:val="center"/>
              <w:rPr>
                <w:rFonts w:hint="eastAsia" w:ascii="宋体" w:hAnsi="宋体" w:cs="宋体"/>
                <w:sz w:val="18"/>
                <w:szCs w:val="18"/>
                <w:lang w:val="en-US" w:eastAsia="zh-CN"/>
              </w:rPr>
            </w:pPr>
            <w:r>
              <w:rPr>
                <w:rFonts w:hint="eastAsia" w:ascii="宋体" w:hAnsi="宋体" w:cs="宋体"/>
                <w:sz w:val="18"/>
                <w:szCs w:val="18"/>
                <w:lang w:val="en-US" w:eastAsia="zh-CN"/>
              </w:rPr>
              <w:t>0.05</w:t>
            </w:r>
          </w:p>
        </w:tc>
      </w:tr>
      <w:tr w14:paraId="62C8A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941" w:type="pct"/>
            <w:tcBorders>
              <w:top w:val="single" w:color="000000" w:sz="4" w:space="0"/>
              <w:left w:val="single" w:color="000000" w:sz="4" w:space="0"/>
              <w:bottom w:val="single" w:color="000000" w:sz="4" w:space="0"/>
              <w:right w:val="single" w:color="auto" w:sz="4" w:space="0"/>
            </w:tcBorders>
            <w:shd w:val="clear" w:color="auto" w:fill="auto"/>
            <w:noWrap/>
            <w:vAlign w:val="top"/>
          </w:tcPr>
          <w:p w14:paraId="69802089">
            <w:pPr>
              <w:jc w:val="center"/>
              <w:rPr>
                <w:rFonts w:hint="eastAsia" w:ascii="宋体" w:hAnsi="宋体" w:cs="宋体"/>
                <w:sz w:val="18"/>
                <w:szCs w:val="18"/>
                <w:lang w:val="en-US" w:eastAsia="en-US"/>
              </w:rPr>
            </w:pPr>
            <w:r>
              <w:rPr>
                <w:rFonts w:hint="eastAsia" w:ascii="宋体" w:hAnsi="宋体" w:cs="宋体"/>
                <w:sz w:val="18"/>
                <w:szCs w:val="18"/>
                <w:lang w:val="en-US" w:eastAsia="zh-CN"/>
              </w:rPr>
              <w:t>H90</w:t>
            </w:r>
          </w:p>
        </w:tc>
        <w:tc>
          <w:tcPr>
            <w:tcW w:w="973" w:type="pct"/>
            <w:tcBorders>
              <w:top w:val="single" w:color="auto" w:sz="4" w:space="0"/>
              <w:left w:val="single" w:color="auto" w:sz="4" w:space="0"/>
              <w:bottom w:val="single" w:color="auto" w:sz="4" w:space="0"/>
              <w:right w:val="single" w:color="auto" w:sz="4" w:space="0"/>
            </w:tcBorders>
            <w:shd w:val="clear" w:color="auto" w:fill="auto"/>
            <w:noWrap/>
            <w:vAlign w:val="top"/>
          </w:tcPr>
          <w:p w14:paraId="50E709B0">
            <w:pPr>
              <w:jc w:val="center"/>
              <w:rPr>
                <w:rFonts w:hint="eastAsia" w:ascii="宋体" w:hAnsi="宋体" w:cs="宋体"/>
                <w:sz w:val="18"/>
                <w:szCs w:val="18"/>
                <w:lang w:val="en-US" w:eastAsia="en-US"/>
              </w:rPr>
            </w:pPr>
            <w:r>
              <w:rPr>
                <w:rFonts w:hint="eastAsia" w:ascii="宋体" w:hAnsi="宋体" w:cs="宋体"/>
                <w:sz w:val="18"/>
                <w:szCs w:val="18"/>
                <w:lang w:val="en-US" w:eastAsia="zh-CN"/>
              </w:rPr>
              <w:t>0.035</w:t>
            </w:r>
          </w:p>
        </w:tc>
        <w:tc>
          <w:tcPr>
            <w:tcW w:w="1016" w:type="pct"/>
            <w:tcBorders>
              <w:top w:val="single" w:color="auto" w:sz="4" w:space="0"/>
              <w:left w:val="single" w:color="auto" w:sz="4" w:space="0"/>
              <w:bottom w:val="single" w:color="auto" w:sz="4" w:space="0"/>
              <w:right w:val="single" w:color="auto" w:sz="4" w:space="0"/>
            </w:tcBorders>
            <w:shd w:val="clear" w:color="auto" w:fill="auto"/>
            <w:noWrap/>
            <w:vAlign w:val="top"/>
          </w:tcPr>
          <w:p w14:paraId="49C90745">
            <w:pPr>
              <w:jc w:val="center"/>
              <w:rPr>
                <w:rFonts w:hint="eastAsia" w:ascii="宋体" w:hAnsi="宋体" w:cs="宋体"/>
                <w:sz w:val="18"/>
                <w:szCs w:val="18"/>
                <w:lang w:val="en-US" w:eastAsia="zh-CN"/>
              </w:rPr>
            </w:pPr>
            <w:r>
              <w:rPr>
                <w:rFonts w:hint="eastAsia" w:ascii="宋体" w:hAnsi="宋体" w:cs="宋体"/>
                <w:sz w:val="18"/>
                <w:szCs w:val="18"/>
                <w:lang w:val="en-US" w:eastAsia="zh-CN"/>
              </w:rPr>
              <w:t>0.015</w:t>
            </w:r>
          </w:p>
        </w:tc>
        <w:tc>
          <w:tcPr>
            <w:tcW w:w="1006" w:type="pct"/>
            <w:tcBorders>
              <w:top w:val="single" w:color="auto" w:sz="4" w:space="0"/>
              <w:left w:val="single" w:color="auto" w:sz="4" w:space="0"/>
              <w:bottom w:val="single" w:color="auto" w:sz="4" w:space="0"/>
              <w:right w:val="single" w:color="auto" w:sz="4" w:space="0"/>
            </w:tcBorders>
            <w:shd w:val="clear" w:color="auto" w:fill="auto"/>
            <w:noWrap/>
            <w:vAlign w:val="top"/>
          </w:tcPr>
          <w:p w14:paraId="54604E9C">
            <w:pPr>
              <w:jc w:val="center"/>
              <w:rPr>
                <w:rFonts w:hint="eastAsia" w:ascii="宋体" w:hAnsi="宋体" w:cs="宋体"/>
                <w:sz w:val="18"/>
                <w:szCs w:val="18"/>
                <w:lang w:val="en-US" w:eastAsia="zh-CN"/>
              </w:rPr>
            </w:pPr>
            <w:r>
              <w:rPr>
                <w:rFonts w:hint="eastAsia" w:ascii="宋体" w:hAnsi="宋体" w:cs="宋体"/>
                <w:sz w:val="18"/>
                <w:szCs w:val="18"/>
                <w:lang w:val="en-US" w:eastAsia="zh-CN"/>
              </w:rPr>
              <w:t>0.05</w:t>
            </w:r>
          </w:p>
        </w:tc>
        <w:tc>
          <w:tcPr>
            <w:tcW w:w="1061" w:type="pct"/>
            <w:tcBorders>
              <w:top w:val="single" w:color="auto" w:sz="4" w:space="0"/>
              <w:left w:val="single" w:color="auto" w:sz="4" w:space="0"/>
              <w:bottom w:val="single" w:color="auto" w:sz="4" w:space="0"/>
              <w:right w:val="single" w:color="auto" w:sz="4" w:space="0"/>
            </w:tcBorders>
            <w:shd w:val="clear" w:color="auto" w:fill="auto"/>
            <w:noWrap/>
            <w:vAlign w:val="top"/>
          </w:tcPr>
          <w:p w14:paraId="2BB7759E">
            <w:pPr>
              <w:jc w:val="center"/>
              <w:rPr>
                <w:rFonts w:hint="eastAsia" w:ascii="宋体" w:hAnsi="宋体" w:cs="宋体"/>
                <w:sz w:val="18"/>
                <w:szCs w:val="18"/>
                <w:lang w:val="en-US" w:eastAsia="zh-CN"/>
              </w:rPr>
            </w:pPr>
            <w:r>
              <w:rPr>
                <w:rFonts w:hint="eastAsia" w:ascii="宋体" w:hAnsi="宋体" w:cs="宋体"/>
                <w:sz w:val="18"/>
                <w:szCs w:val="18"/>
                <w:lang w:val="en-US" w:eastAsia="zh-CN"/>
              </w:rPr>
              <w:t>0.05</w:t>
            </w:r>
          </w:p>
        </w:tc>
      </w:tr>
      <w:tr w14:paraId="2C4DA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jc w:val="center"/>
        </w:trPr>
        <w:tc>
          <w:tcPr>
            <w:tcW w:w="941" w:type="pct"/>
            <w:tcBorders>
              <w:top w:val="single" w:color="000000" w:sz="4" w:space="0"/>
              <w:left w:val="single" w:color="000000" w:sz="4" w:space="0"/>
              <w:bottom w:val="single" w:color="000000" w:sz="4" w:space="0"/>
              <w:right w:val="single" w:color="auto" w:sz="4" w:space="0"/>
            </w:tcBorders>
            <w:shd w:val="clear" w:color="auto" w:fill="auto"/>
            <w:noWrap/>
            <w:vAlign w:val="top"/>
          </w:tcPr>
          <w:p w14:paraId="32E3208A">
            <w:pPr>
              <w:jc w:val="center"/>
              <w:rPr>
                <w:rFonts w:hint="eastAsia" w:ascii="宋体" w:hAnsi="宋体" w:cs="宋体"/>
                <w:sz w:val="18"/>
                <w:szCs w:val="18"/>
                <w:lang w:val="en-US" w:eastAsia="en-US"/>
              </w:rPr>
            </w:pPr>
            <w:r>
              <w:rPr>
                <w:rFonts w:hint="eastAsia" w:ascii="宋体" w:hAnsi="宋体" w:cs="宋体"/>
                <w:sz w:val="18"/>
                <w:szCs w:val="18"/>
                <w:lang w:val="en-US" w:eastAsia="zh-CN"/>
              </w:rPr>
              <w:t>H85</w:t>
            </w:r>
          </w:p>
        </w:tc>
        <w:tc>
          <w:tcPr>
            <w:tcW w:w="973" w:type="pct"/>
            <w:tcBorders>
              <w:top w:val="single" w:color="auto" w:sz="4" w:space="0"/>
              <w:left w:val="single" w:color="auto" w:sz="4" w:space="0"/>
              <w:bottom w:val="single" w:color="auto" w:sz="4" w:space="0"/>
              <w:right w:val="single" w:color="auto" w:sz="4" w:space="0"/>
            </w:tcBorders>
            <w:shd w:val="clear" w:color="auto" w:fill="auto"/>
            <w:noWrap/>
            <w:vAlign w:val="top"/>
          </w:tcPr>
          <w:p w14:paraId="4A0B007F">
            <w:pPr>
              <w:jc w:val="center"/>
              <w:rPr>
                <w:rFonts w:hint="eastAsia" w:ascii="宋体" w:hAnsi="宋体" w:cs="宋体"/>
                <w:sz w:val="18"/>
                <w:szCs w:val="18"/>
                <w:lang w:val="en-US" w:eastAsia="en-US"/>
              </w:rPr>
            </w:pPr>
            <w:r>
              <w:rPr>
                <w:rFonts w:hint="eastAsia" w:ascii="宋体" w:hAnsi="宋体" w:cs="宋体"/>
                <w:sz w:val="18"/>
                <w:szCs w:val="18"/>
                <w:lang w:val="en-US" w:eastAsia="zh-CN"/>
              </w:rPr>
              <w:t>0.035</w:t>
            </w:r>
          </w:p>
        </w:tc>
        <w:tc>
          <w:tcPr>
            <w:tcW w:w="1016" w:type="pct"/>
            <w:tcBorders>
              <w:top w:val="single" w:color="auto" w:sz="4" w:space="0"/>
              <w:left w:val="single" w:color="auto" w:sz="4" w:space="0"/>
              <w:bottom w:val="single" w:color="auto" w:sz="4" w:space="0"/>
              <w:right w:val="single" w:color="auto" w:sz="4" w:space="0"/>
            </w:tcBorders>
            <w:shd w:val="clear" w:color="auto" w:fill="auto"/>
            <w:noWrap/>
            <w:vAlign w:val="top"/>
          </w:tcPr>
          <w:p w14:paraId="1D2A1D40">
            <w:pPr>
              <w:jc w:val="center"/>
              <w:rPr>
                <w:rFonts w:hint="eastAsia" w:ascii="宋体" w:hAnsi="宋体" w:cs="宋体"/>
                <w:sz w:val="18"/>
                <w:szCs w:val="18"/>
                <w:lang w:val="en-US" w:eastAsia="zh-CN"/>
              </w:rPr>
            </w:pPr>
            <w:r>
              <w:rPr>
                <w:rFonts w:hint="eastAsia" w:ascii="宋体" w:hAnsi="宋体" w:cs="宋体"/>
                <w:sz w:val="18"/>
                <w:szCs w:val="18"/>
                <w:lang w:val="en-US" w:eastAsia="zh-CN"/>
              </w:rPr>
              <w:t>0.015</w:t>
            </w:r>
          </w:p>
        </w:tc>
        <w:tc>
          <w:tcPr>
            <w:tcW w:w="1006" w:type="pct"/>
            <w:tcBorders>
              <w:top w:val="single" w:color="auto" w:sz="4" w:space="0"/>
              <w:left w:val="single" w:color="auto" w:sz="4" w:space="0"/>
              <w:bottom w:val="single" w:color="auto" w:sz="4" w:space="0"/>
              <w:right w:val="single" w:color="auto" w:sz="4" w:space="0"/>
            </w:tcBorders>
            <w:shd w:val="clear" w:color="auto" w:fill="auto"/>
            <w:noWrap/>
            <w:vAlign w:val="top"/>
          </w:tcPr>
          <w:p w14:paraId="17F0284B">
            <w:pPr>
              <w:jc w:val="center"/>
              <w:rPr>
                <w:rFonts w:hint="eastAsia" w:ascii="宋体" w:hAnsi="宋体" w:cs="宋体"/>
                <w:sz w:val="18"/>
                <w:szCs w:val="18"/>
                <w:lang w:val="en-US" w:eastAsia="zh-CN"/>
              </w:rPr>
            </w:pPr>
            <w:r>
              <w:rPr>
                <w:rFonts w:hint="eastAsia" w:ascii="宋体" w:hAnsi="宋体" w:cs="宋体"/>
                <w:sz w:val="18"/>
                <w:szCs w:val="18"/>
                <w:lang w:val="en-US" w:eastAsia="zh-CN"/>
              </w:rPr>
              <w:t>0.05</w:t>
            </w:r>
          </w:p>
        </w:tc>
        <w:tc>
          <w:tcPr>
            <w:tcW w:w="1061" w:type="pct"/>
            <w:tcBorders>
              <w:top w:val="single" w:color="auto" w:sz="4" w:space="0"/>
              <w:left w:val="single" w:color="auto" w:sz="4" w:space="0"/>
              <w:bottom w:val="single" w:color="auto" w:sz="4" w:space="0"/>
              <w:right w:val="single" w:color="auto" w:sz="4" w:space="0"/>
            </w:tcBorders>
            <w:shd w:val="clear" w:color="auto" w:fill="auto"/>
            <w:noWrap/>
            <w:vAlign w:val="top"/>
          </w:tcPr>
          <w:p w14:paraId="67147A02">
            <w:pPr>
              <w:jc w:val="center"/>
              <w:rPr>
                <w:rFonts w:hint="eastAsia" w:ascii="宋体" w:hAnsi="宋体" w:cs="宋体"/>
                <w:sz w:val="18"/>
                <w:szCs w:val="18"/>
                <w:lang w:val="en-US" w:eastAsia="zh-CN"/>
              </w:rPr>
            </w:pPr>
            <w:r>
              <w:rPr>
                <w:rFonts w:hint="eastAsia" w:ascii="宋体" w:hAnsi="宋体" w:cs="宋体"/>
                <w:sz w:val="18"/>
                <w:szCs w:val="18"/>
                <w:lang w:val="en-US" w:eastAsia="zh-CN"/>
              </w:rPr>
              <w:t>0.05</w:t>
            </w:r>
          </w:p>
        </w:tc>
      </w:tr>
      <w:tr w14:paraId="3711C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jc w:val="center"/>
        </w:trPr>
        <w:tc>
          <w:tcPr>
            <w:tcW w:w="941" w:type="pct"/>
            <w:tcBorders>
              <w:top w:val="single" w:color="000000" w:sz="4" w:space="0"/>
              <w:left w:val="single" w:color="000000" w:sz="4" w:space="0"/>
              <w:bottom w:val="single" w:color="000000" w:sz="4" w:space="0"/>
              <w:right w:val="single" w:color="auto" w:sz="4" w:space="0"/>
            </w:tcBorders>
            <w:shd w:val="clear" w:color="auto" w:fill="auto"/>
            <w:noWrap/>
            <w:vAlign w:val="top"/>
          </w:tcPr>
          <w:p w14:paraId="6DB846F4">
            <w:pPr>
              <w:jc w:val="center"/>
              <w:rPr>
                <w:rFonts w:hint="eastAsia" w:ascii="宋体" w:hAnsi="宋体" w:cs="宋体"/>
                <w:sz w:val="18"/>
                <w:szCs w:val="18"/>
                <w:lang w:val="en-US" w:eastAsia="en-US"/>
              </w:rPr>
            </w:pPr>
            <w:r>
              <w:rPr>
                <w:rFonts w:hint="eastAsia" w:ascii="宋体" w:hAnsi="宋体" w:cs="宋体"/>
                <w:sz w:val="18"/>
                <w:szCs w:val="18"/>
                <w:lang w:val="en-US" w:eastAsia="zh-CN"/>
              </w:rPr>
              <w:t>H80</w:t>
            </w:r>
          </w:p>
        </w:tc>
        <w:tc>
          <w:tcPr>
            <w:tcW w:w="973" w:type="pct"/>
            <w:tcBorders>
              <w:top w:val="single" w:color="auto" w:sz="4" w:space="0"/>
              <w:left w:val="single" w:color="auto" w:sz="4" w:space="0"/>
              <w:bottom w:val="single" w:color="auto" w:sz="4" w:space="0"/>
              <w:right w:val="single" w:color="auto" w:sz="4" w:space="0"/>
            </w:tcBorders>
            <w:shd w:val="clear" w:color="auto" w:fill="auto"/>
            <w:noWrap/>
            <w:vAlign w:val="top"/>
          </w:tcPr>
          <w:p w14:paraId="19592FDF">
            <w:pPr>
              <w:jc w:val="center"/>
              <w:rPr>
                <w:rFonts w:hint="eastAsia" w:ascii="宋体" w:hAnsi="宋体" w:cs="宋体"/>
                <w:sz w:val="18"/>
                <w:szCs w:val="18"/>
                <w:lang w:val="en-US" w:eastAsia="zh-CN"/>
              </w:rPr>
            </w:pPr>
            <w:r>
              <w:rPr>
                <w:rFonts w:hint="eastAsia" w:ascii="宋体" w:hAnsi="宋体" w:cs="宋体"/>
                <w:sz w:val="18"/>
                <w:szCs w:val="18"/>
                <w:lang w:val="en-US" w:eastAsia="zh-CN"/>
              </w:rPr>
              <w:t>0.035</w:t>
            </w:r>
          </w:p>
        </w:tc>
        <w:tc>
          <w:tcPr>
            <w:tcW w:w="1016" w:type="pct"/>
            <w:tcBorders>
              <w:top w:val="single" w:color="auto" w:sz="4" w:space="0"/>
              <w:left w:val="single" w:color="auto" w:sz="4" w:space="0"/>
              <w:bottom w:val="single" w:color="auto" w:sz="4" w:space="0"/>
              <w:right w:val="single" w:color="auto" w:sz="4" w:space="0"/>
            </w:tcBorders>
            <w:shd w:val="clear" w:color="auto" w:fill="auto"/>
            <w:noWrap/>
            <w:vAlign w:val="top"/>
          </w:tcPr>
          <w:p w14:paraId="003375B7">
            <w:pPr>
              <w:jc w:val="center"/>
              <w:rPr>
                <w:rFonts w:hint="eastAsia" w:ascii="宋体" w:hAnsi="宋体" w:cs="宋体"/>
                <w:sz w:val="18"/>
                <w:szCs w:val="18"/>
                <w:lang w:val="en-US" w:eastAsia="zh-CN"/>
              </w:rPr>
            </w:pPr>
            <w:r>
              <w:rPr>
                <w:rFonts w:hint="eastAsia" w:ascii="宋体" w:hAnsi="宋体" w:cs="宋体"/>
                <w:sz w:val="18"/>
                <w:szCs w:val="18"/>
                <w:lang w:val="en-US" w:eastAsia="zh-CN"/>
              </w:rPr>
              <w:t>0.015</w:t>
            </w:r>
          </w:p>
        </w:tc>
        <w:tc>
          <w:tcPr>
            <w:tcW w:w="1006" w:type="pct"/>
            <w:tcBorders>
              <w:top w:val="single" w:color="auto" w:sz="4" w:space="0"/>
              <w:left w:val="single" w:color="auto" w:sz="4" w:space="0"/>
              <w:bottom w:val="single" w:color="auto" w:sz="4" w:space="0"/>
              <w:right w:val="single" w:color="auto" w:sz="4" w:space="0"/>
            </w:tcBorders>
            <w:shd w:val="clear" w:color="auto" w:fill="auto"/>
            <w:noWrap/>
            <w:vAlign w:val="top"/>
          </w:tcPr>
          <w:p w14:paraId="1A3BE834">
            <w:pPr>
              <w:jc w:val="center"/>
              <w:rPr>
                <w:rFonts w:hint="eastAsia" w:ascii="宋体" w:hAnsi="宋体" w:cs="宋体"/>
                <w:sz w:val="18"/>
                <w:szCs w:val="18"/>
                <w:lang w:val="en-US" w:eastAsia="zh-CN"/>
              </w:rPr>
            </w:pPr>
            <w:r>
              <w:rPr>
                <w:rFonts w:hint="eastAsia" w:ascii="宋体" w:hAnsi="宋体" w:cs="宋体"/>
                <w:sz w:val="18"/>
                <w:szCs w:val="18"/>
                <w:lang w:val="en-US" w:eastAsia="zh-CN"/>
              </w:rPr>
              <w:t>0.05</w:t>
            </w:r>
          </w:p>
        </w:tc>
        <w:tc>
          <w:tcPr>
            <w:tcW w:w="1061" w:type="pct"/>
            <w:tcBorders>
              <w:top w:val="single" w:color="auto" w:sz="4" w:space="0"/>
              <w:left w:val="single" w:color="auto" w:sz="4" w:space="0"/>
              <w:bottom w:val="single" w:color="auto" w:sz="4" w:space="0"/>
              <w:right w:val="single" w:color="auto" w:sz="4" w:space="0"/>
            </w:tcBorders>
            <w:shd w:val="clear" w:color="auto" w:fill="auto"/>
            <w:noWrap/>
            <w:vAlign w:val="top"/>
          </w:tcPr>
          <w:p w14:paraId="1D0CFD35">
            <w:pPr>
              <w:jc w:val="center"/>
              <w:rPr>
                <w:rFonts w:hint="eastAsia" w:ascii="宋体" w:hAnsi="宋体" w:cs="宋体"/>
                <w:sz w:val="18"/>
                <w:szCs w:val="18"/>
                <w:lang w:val="en-US" w:eastAsia="zh-CN"/>
              </w:rPr>
            </w:pPr>
            <w:r>
              <w:rPr>
                <w:rFonts w:hint="eastAsia" w:ascii="宋体" w:hAnsi="宋体" w:cs="宋体"/>
                <w:sz w:val="18"/>
                <w:szCs w:val="18"/>
                <w:lang w:val="en-US" w:eastAsia="zh-CN"/>
              </w:rPr>
              <w:t>0.05</w:t>
            </w:r>
          </w:p>
        </w:tc>
      </w:tr>
      <w:tr w14:paraId="420D6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941" w:type="pct"/>
            <w:tcBorders>
              <w:top w:val="single" w:color="000000" w:sz="4" w:space="0"/>
              <w:left w:val="single" w:color="000000" w:sz="4" w:space="0"/>
              <w:bottom w:val="single" w:color="000000" w:sz="4" w:space="0"/>
              <w:right w:val="single" w:color="auto" w:sz="4" w:space="0"/>
            </w:tcBorders>
            <w:shd w:val="clear" w:color="auto" w:fill="auto"/>
            <w:noWrap/>
            <w:vAlign w:val="top"/>
          </w:tcPr>
          <w:p w14:paraId="5DCBBE49">
            <w:pPr>
              <w:jc w:val="center"/>
              <w:rPr>
                <w:rFonts w:hint="eastAsia" w:ascii="宋体" w:hAnsi="宋体" w:cs="宋体"/>
                <w:sz w:val="18"/>
                <w:szCs w:val="18"/>
                <w:lang w:val="en-US" w:eastAsia="en-US"/>
              </w:rPr>
            </w:pPr>
            <w:r>
              <w:rPr>
                <w:rFonts w:hint="eastAsia" w:ascii="宋体" w:hAnsi="宋体" w:cs="宋体"/>
                <w:sz w:val="18"/>
                <w:szCs w:val="18"/>
                <w:lang w:val="en-US" w:eastAsia="zh-CN"/>
              </w:rPr>
              <w:t>H70</w:t>
            </w:r>
          </w:p>
        </w:tc>
        <w:tc>
          <w:tcPr>
            <w:tcW w:w="973" w:type="pct"/>
            <w:tcBorders>
              <w:top w:val="single" w:color="auto" w:sz="4" w:space="0"/>
              <w:left w:val="single" w:color="auto" w:sz="4" w:space="0"/>
              <w:bottom w:val="single" w:color="auto" w:sz="4" w:space="0"/>
              <w:right w:val="single" w:color="auto" w:sz="4" w:space="0"/>
            </w:tcBorders>
            <w:shd w:val="clear" w:color="auto" w:fill="auto"/>
            <w:noWrap/>
            <w:vAlign w:val="top"/>
          </w:tcPr>
          <w:p w14:paraId="0BCBB404">
            <w:pPr>
              <w:jc w:val="center"/>
              <w:rPr>
                <w:rFonts w:hint="eastAsia" w:ascii="宋体" w:hAnsi="宋体" w:cs="宋体"/>
                <w:sz w:val="18"/>
                <w:szCs w:val="18"/>
                <w:lang w:val="en-US" w:eastAsia="zh-CN"/>
              </w:rPr>
            </w:pPr>
            <w:r>
              <w:rPr>
                <w:rFonts w:hint="eastAsia" w:ascii="宋体" w:hAnsi="宋体" w:cs="宋体"/>
                <w:sz w:val="18"/>
                <w:szCs w:val="18"/>
                <w:lang w:val="en-US" w:eastAsia="zh-CN"/>
              </w:rPr>
              <w:t>0.04</w:t>
            </w:r>
          </w:p>
        </w:tc>
        <w:tc>
          <w:tcPr>
            <w:tcW w:w="1016" w:type="pct"/>
            <w:tcBorders>
              <w:top w:val="single" w:color="auto" w:sz="4" w:space="0"/>
              <w:left w:val="single" w:color="auto" w:sz="4" w:space="0"/>
              <w:bottom w:val="single" w:color="auto" w:sz="4" w:space="0"/>
              <w:right w:val="single" w:color="auto" w:sz="4" w:space="0"/>
            </w:tcBorders>
            <w:shd w:val="clear" w:color="auto" w:fill="auto"/>
            <w:noWrap/>
            <w:vAlign w:val="top"/>
          </w:tcPr>
          <w:p w14:paraId="497090B8">
            <w:pPr>
              <w:jc w:val="center"/>
              <w:rPr>
                <w:rFonts w:hint="eastAsia" w:ascii="宋体" w:hAnsi="宋体" w:cs="宋体"/>
                <w:sz w:val="18"/>
                <w:szCs w:val="18"/>
                <w:lang w:val="en-US" w:eastAsia="zh-CN"/>
              </w:rPr>
            </w:pPr>
            <w:r>
              <w:rPr>
                <w:rFonts w:hint="eastAsia" w:ascii="宋体" w:hAnsi="宋体" w:cs="宋体"/>
                <w:sz w:val="18"/>
                <w:szCs w:val="18"/>
                <w:lang w:val="en-US" w:eastAsia="zh-CN"/>
              </w:rPr>
              <w:t>0.015</w:t>
            </w:r>
          </w:p>
        </w:tc>
        <w:tc>
          <w:tcPr>
            <w:tcW w:w="1006" w:type="pct"/>
            <w:tcBorders>
              <w:top w:val="single" w:color="auto" w:sz="4" w:space="0"/>
              <w:left w:val="single" w:color="auto" w:sz="4" w:space="0"/>
              <w:bottom w:val="single" w:color="auto" w:sz="4" w:space="0"/>
              <w:right w:val="single" w:color="auto" w:sz="4" w:space="0"/>
            </w:tcBorders>
            <w:shd w:val="clear" w:color="auto" w:fill="auto"/>
            <w:noWrap/>
            <w:vAlign w:val="top"/>
          </w:tcPr>
          <w:p w14:paraId="7D75F9C3">
            <w:pPr>
              <w:jc w:val="center"/>
              <w:rPr>
                <w:rFonts w:hint="default" w:ascii="宋体" w:hAnsi="宋体" w:cs="宋体"/>
                <w:sz w:val="18"/>
                <w:szCs w:val="18"/>
                <w:lang w:val="en-US" w:eastAsia="zh-CN"/>
              </w:rPr>
            </w:pPr>
            <w:r>
              <w:rPr>
                <w:rFonts w:hint="eastAsia" w:ascii="宋体" w:hAnsi="宋体" w:cs="宋体"/>
                <w:sz w:val="18"/>
                <w:szCs w:val="18"/>
                <w:lang w:val="en-US" w:eastAsia="zh-CN"/>
              </w:rPr>
              <w:t>0.10</w:t>
            </w:r>
          </w:p>
        </w:tc>
        <w:tc>
          <w:tcPr>
            <w:tcW w:w="1061" w:type="pct"/>
            <w:tcBorders>
              <w:top w:val="single" w:color="auto" w:sz="4" w:space="0"/>
              <w:left w:val="single" w:color="auto" w:sz="4" w:space="0"/>
              <w:bottom w:val="single" w:color="auto" w:sz="4" w:space="0"/>
              <w:right w:val="single" w:color="auto" w:sz="4" w:space="0"/>
            </w:tcBorders>
            <w:shd w:val="clear" w:color="auto" w:fill="auto"/>
            <w:noWrap/>
            <w:vAlign w:val="top"/>
          </w:tcPr>
          <w:p w14:paraId="085ED5F0">
            <w:pPr>
              <w:jc w:val="center"/>
              <w:rPr>
                <w:rFonts w:hint="eastAsia" w:ascii="宋体" w:hAnsi="宋体" w:cs="宋体"/>
                <w:sz w:val="18"/>
                <w:szCs w:val="18"/>
                <w:lang w:val="en-US" w:eastAsia="zh-CN"/>
              </w:rPr>
            </w:pPr>
            <w:r>
              <w:rPr>
                <w:rFonts w:hint="eastAsia" w:ascii="宋体" w:hAnsi="宋体" w:cs="宋体"/>
                <w:sz w:val="18"/>
                <w:szCs w:val="18"/>
                <w:lang w:val="en-US" w:eastAsia="zh-CN"/>
              </w:rPr>
              <w:t>0.03</w:t>
            </w:r>
          </w:p>
        </w:tc>
      </w:tr>
      <w:tr w14:paraId="5BCE3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jc w:val="center"/>
        </w:trPr>
        <w:tc>
          <w:tcPr>
            <w:tcW w:w="941" w:type="pct"/>
            <w:tcBorders>
              <w:top w:val="single" w:color="000000" w:sz="4" w:space="0"/>
              <w:left w:val="single" w:color="000000" w:sz="4" w:space="0"/>
              <w:bottom w:val="single" w:color="000000" w:sz="4" w:space="0"/>
              <w:right w:val="single" w:color="auto" w:sz="4" w:space="0"/>
            </w:tcBorders>
            <w:shd w:val="clear" w:color="auto" w:fill="auto"/>
            <w:noWrap/>
            <w:vAlign w:val="top"/>
          </w:tcPr>
          <w:p w14:paraId="744B0396">
            <w:pPr>
              <w:jc w:val="center"/>
              <w:rPr>
                <w:rFonts w:hint="eastAsia" w:ascii="宋体" w:hAnsi="宋体" w:cs="宋体"/>
                <w:sz w:val="18"/>
                <w:szCs w:val="18"/>
                <w:lang w:val="en-US" w:eastAsia="en-US"/>
              </w:rPr>
            </w:pPr>
            <w:r>
              <w:rPr>
                <w:rFonts w:hint="eastAsia" w:ascii="宋体" w:hAnsi="宋体" w:cs="宋体"/>
                <w:sz w:val="18"/>
                <w:szCs w:val="18"/>
                <w:lang w:val="en-US" w:eastAsia="zh-CN"/>
              </w:rPr>
              <w:t>H68</w:t>
            </w:r>
          </w:p>
        </w:tc>
        <w:tc>
          <w:tcPr>
            <w:tcW w:w="973" w:type="pct"/>
            <w:tcBorders>
              <w:top w:val="single" w:color="auto" w:sz="4" w:space="0"/>
              <w:left w:val="single" w:color="auto" w:sz="4" w:space="0"/>
              <w:bottom w:val="single" w:color="auto" w:sz="4" w:space="0"/>
              <w:right w:val="single" w:color="auto" w:sz="4" w:space="0"/>
            </w:tcBorders>
            <w:shd w:val="clear" w:color="auto" w:fill="auto"/>
            <w:noWrap/>
            <w:vAlign w:val="top"/>
          </w:tcPr>
          <w:p w14:paraId="04611B8A">
            <w:pPr>
              <w:jc w:val="center"/>
              <w:rPr>
                <w:rFonts w:hint="eastAsia" w:ascii="宋体" w:hAnsi="宋体" w:cs="宋体"/>
                <w:sz w:val="18"/>
                <w:szCs w:val="18"/>
                <w:lang w:val="en-US" w:eastAsia="zh-CN"/>
              </w:rPr>
            </w:pPr>
            <w:r>
              <w:rPr>
                <w:rFonts w:hint="eastAsia" w:ascii="宋体" w:hAnsi="宋体" w:cs="宋体"/>
                <w:sz w:val="18"/>
                <w:szCs w:val="18"/>
                <w:lang w:val="en-US" w:eastAsia="zh-CN"/>
              </w:rPr>
              <w:t>0.03</w:t>
            </w:r>
          </w:p>
        </w:tc>
        <w:tc>
          <w:tcPr>
            <w:tcW w:w="1016" w:type="pct"/>
            <w:tcBorders>
              <w:top w:val="single" w:color="auto" w:sz="4" w:space="0"/>
              <w:left w:val="single" w:color="auto" w:sz="4" w:space="0"/>
              <w:bottom w:val="single" w:color="auto" w:sz="4" w:space="0"/>
              <w:right w:val="single" w:color="auto" w:sz="4" w:space="0"/>
            </w:tcBorders>
            <w:shd w:val="clear" w:color="auto" w:fill="auto"/>
            <w:noWrap/>
            <w:vAlign w:val="top"/>
          </w:tcPr>
          <w:p w14:paraId="00E4A27E">
            <w:pPr>
              <w:jc w:val="center"/>
              <w:rPr>
                <w:rFonts w:hint="eastAsia" w:ascii="宋体" w:hAnsi="宋体" w:cs="宋体"/>
                <w:sz w:val="18"/>
                <w:szCs w:val="18"/>
                <w:lang w:val="en-US" w:eastAsia="zh-CN"/>
              </w:rPr>
            </w:pPr>
            <w:r>
              <w:rPr>
                <w:rFonts w:hint="eastAsia" w:ascii="宋体" w:hAnsi="宋体" w:cs="宋体"/>
                <w:sz w:val="18"/>
                <w:szCs w:val="18"/>
                <w:lang w:val="en-US" w:eastAsia="zh-CN"/>
              </w:rPr>
              <w:t>0.015</w:t>
            </w:r>
          </w:p>
        </w:tc>
        <w:tc>
          <w:tcPr>
            <w:tcW w:w="1006" w:type="pct"/>
            <w:tcBorders>
              <w:top w:val="single" w:color="auto" w:sz="4" w:space="0"/>
              <w:left w:val="single" w:color="auto" w:sz="4" w:space="0"/>
              <w:bottom w:val="single" w:color="auto" w:sz="4" w:space="0"/>
              <w:right w:val="single" w:color="auto" w:sz="4" w:space="0"/>
            </w:tcBorders>
            <w:shd w:val="clear" w:color="auto" w:fill="auto"/>
            <w:noWrap/>
            <w:vAlign w:val="top"/>
          </w:tcPr>
          <w:p w14:paraId="43D90762">
            <w:pPr>
              <w:jc w:val="center"/>
              <w:rPr>
                <w:rFonts w:hint="eastAsia" w:ascii="宋体" w:hAnsi="宋体" w:cs="宋体"/>
                <w:sz w:val="18"/>
                <w:szCs w:val="18"/>
                <w:lang w:val="en-US" w:eastAsia="zh-CN"/>
              </w:rPr>
            </w:pPr>
            <w:r>
              <w:rPr>
                <w:rFonts w:hint="eastAsia" w:ascii="宋体" w:hAnsi="宋体" w:cs="宋体"/>
                <w:sz w:val="18"/>
                <w:szCs w:val="18"/>
                <w:lang w:val="en-US" w:eastAsia="zh-CN"/>
              </w:rPr>
              <w:t>0.10</w:t>
            </w:r>
          </w:p>
        </w:tc>
        <w:tc>
          <w:tcPr>
            <w:tcW w:w="1061" w:type="pct"/>
            <w:tcBorders>
              <w:top w:val="single" w:color="auto" w:sz="4" w:space="0"/>
              <w:left w:val="single" w:color="auto" w:sz="4" w:space="0"/>
              <w:bottom w:val="single" w:color="auto" w:sz="4" w:space="0"/>
              <w:right w:val="single" w:color="auto" w:sz="4" w:space="0"/>
            </w:tcBorders>
            <w:shd w:val="clear" w:color="auto" w:fill="auto"/>
            <w:noWrap/>
            <w:vAlign w:val="top"/>
          </w:tcPr>
          <w:p w14:paraId="563FF98B">
            <w:pPr>
              <w:jc w:val="center"/>
              <w:rPr>
                <w:rFonts w:hint="eastAsia" w:ascii="宋体" w:hAnsi="宋体" w:cs="宋体"/>
                <w:sz w:val="18"/>
                <w:szCs w:val="18"/>
                <w:lang w:val="en-US" w:eastAsia="zh-CN"/>
              </w:rPr>
            </w:pPr>
            <w:r>
              <w:rPr>
                <w:rFonts w:hint="eastAsia" w:ascii="宋体" w:hAnsi="宋体" w:cs="宋体"/>
                <w:sz w:val="18"/>
                <w:szCs w:val="18"/>
                <w:lang w:val="en-US" w:eastAsia="zh-CN"/>
              </w:rPr>
              <w:t>0.03</w:t>
            </w:r>
          </w:p>
        </w:tc>
      </w:tr>
      <w:tr w14:paraId="6DDC8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941" w:type="pct"/>
            <w:tcBorders>
              <w:top w:val="single" w:color="000000" w:sz="4" w:space="0"/>
              <w:left w:val="single" w:color="000000" w:sz="4" w:space="0"/>
              <w:bottom w:val="single" w:color="000000" w:sz="4" w:space="0"/>
              <w:right w:val="single" w:color="auto" w:sz="4" w:space="0"/>
            </w:tcBorders>
            <w:shd w:val="clear" w:color="auto" w:fill="auto"/>
            <w:noWrap/>
            <w:vAlign w:val="top"/>
          </w:tcPr>
          <w:p w14:paraId="739B4E73">
            <w:pPr>
              <w:jc w:val="center"/>
              <w:rPr>
                <w:rFonts w:hint="eastAsia" w:ascii="宋体" w:hAnsi="宋体" w:cs="宋体"/>
                <w:sz w:val="18"/>
                <w:szCs w:val="18"/>
                <w:lang w:val="en-US" w:eastAsia="en-US"/>
              </w:rPr>
            </w:pPr>
            <w:r>
              <w:rPr>
                <w:rFonts w:hint="eastAsia" w:ascii="宋体" w:hAnsi="宋体" w:cs="宋体"/>
                <w:sz w:val="18"/>
                <w:szCs w:val="18"/>
                <w:lang w:val="en-US" w:eastAsia="zh-CN"/>
              </w:rPr>
              <w:t>H65</w:t>
            </w:r>
          </w:p>
        </w:tc>
        <w:tc>
          <w:tcPr>
            <w:tcW w:w="973" w:type="pct"/>
            <w:tcBorders>
              <w:top w:val="single" w:color="auto" w:sz="4" w:space="0"/>
              <w:left w:val="single" w:color="auto" w:sz="4" w:space="0"/>
              <w:bottom w:val="single" w:color="auto" w:sz="4" w:space="0"/>
              <w:right w:val="single" w:color="auto" w:sz="4" w:space="0"/>
            </w:tcBorders>
            <w:shd w:val="clear" w:color="auto" w:fill="auto"/>
            <w:noWrap/>
            <w:vAlign w:val="top"/>
          </w:tcPr>
          <w:p w14:paraId="780F7972">
            <w:pPr>
              <w:jc w:val="center"/>
              <w:rPr>
                <w:rFonts w:hint="eastAsia" w:ascii="宋体" w:hAnsi="宋体" w:cs="宋体"/>
                <w:sz w:val="18"/>
                <w:szCs w:val="18"/>
                <w:lang w:val="en-US" w:eastAsia="zh-CN"/>
              </w:rPr>
            </w:pPr>
            <w:r>
              <w:rPr>
                <w:rFonts w:hint="eastAsia" w:ascii="宋体" w:hAnsi="宋体" w:cs="宋体"/>
                <w:sz w:val="18"/>
                <w:szCs w:val="18"/>
                <w:lang w:val="en-US" w:eastAsia="zh-CN"/>
              </w:rPr>
              <w:t>0.03</w:t>
            </w:r>
          </w:p>
        </w:tc>
        <w:tc>
          <w:tcPr>
            <w:tcW w:w="1016" w:type="pct"/>
            <w:tcBorders>
              <w:top w:val="single" w:color="auto" w:sz="4" w:space="0"/>
              <w:left w:val="single" w:color="auto" w:sz="4" w:space="0"/>
              <w:bottom w:val="single" w:color="auto" w:sz="4" w:space="0"/>
              <w:right w:val="single" w:color="auto" w:sz="4" w:space="0"/>
            </w:tcBorders>
            <w:shd w:val="clear" w:color="auto" w:fill="auto"/>
            <w:noWrap/>
            <w:vAlign w:val="top"/>
          </w:tcPr>
          <w:p w14:paraId="6DDE1A79">
            <w:pPr>
              <w:jc w:val="center"/>
              <w:rPr>
                <w:rFonts w:hint="eastAsia" w:ascii="宋体" w:hAnsi="宋体" w:cs="宋体"/>
                <w:sz w:val="18"/>
                <w:szCs w:val="18"/>
                <w:lang w:val="en-US" w:eastAsia="zh-CN"/>
              </w:rPr>
            </w:pPr>
            <w:r>
              <w:rPr>
                <w:rFonts w:hint="eastAsia" w:ascii="宋体" w:hAnsi="宋体" w:cs="宋体"/>
                <w:sz w:val="18"/>
                <w:szCs w:val="18"/>
                <w:lang w:val="en-US" w:eastAsia="zh-CN"/>
              </w:rPr>
              <w:t>0.015</w:t>
            </w:r>
          </w:p>
        </w:tc>
        <w:tc>
          <w:tcPr>
            <w:tcW w:w="1006" w:type="pct"/>
            <w:tcBorders>
              <w:top w:val="single" w:color="auto" w:sz="4" w:space="0"/>
              <w:left w:val="single" w:color="auto" w:sz="4" w:space="0"/>
              <w:bottom w:val="single" w:color="auto" w:sz="4" w:space="0"/>
              <w:right w:val="single" w:color="auto" w:sz="4" w:space="0"/>
            </w:tcBorders>
            <w:shd w:val="clear" w:color="auto" w:fill="auto"/>
            <w:noWrap/>
            <w:vAlign w:val="top"/>
          </w:tcPr>
          <w:p w14:paraId="5630FB02">
            <w:pPr>
              <w:jc w:val="center"/>
              <w:rPr>
                <w:rFonts w:hint="eastAsia" w:ascii="宋体" w:hAnsi="宋体" w:cs="宋体"/>
                <w:sz w:val="18"/>
                <w:szCs w:val="18"/>
                <w:lang w:val="en-US" w:eastAsia="zh-CN"/>
              </w:rPr>
            </w:pPr>
            <w:r>
              <w:rPr>
                <w:rFonts w:hint="eastAsia" w:ascii="宋体" w:hAnsi="宋体" w:cs="宋体"/>
                <w:sz w:val="18"/>
                <w:szCs w:val="18"/>
                <w:lang w:val="en-US" w:eastAsia="zh-CN"/>
              </w:rPr>
              <w:t>0.07</w:t>
            </w:r>
          </w:p>
        </w:tc>
        <w:tc>
          <w:tcPr>
            <w:tcW w:w="1061" w:type="pct"/>
            <w:tcBorders>
              <w:top w:val="single" w:color="auto" w:sz="4" w:space="0"/>
              <w:left w:val="single" w:color="auto" w:sz="4" w:space="0"/>
              <w:bottom w:val="single" w:color="auto" w:sz="4" w:space="0"/>
              <w:right w:val="single" w:color="auto" w:sz="4" w:space="0"/>
            </w:tcBorders>
            <w:shd w:val="clear" w:color="auto" w:fill="auto"/>
            <w:noWrap/>
            <w:vAlign w:val="top"/>
          </w:tcPr>
          <w:p w14:paraId="1A0C2E1E">
            <w:pPr>
              <w:jc w:val="center"/>
              <w:rPr>
                <w:rFonts w:hint="eastAsia" w:ascii="宋体" w:hAnsi="宋体" w:cs="宋体"/>
                <w:sz w:val="18"/>
                <w:szCs w:val="18"/>
                <w:lang w:val="en-US" w:eastAsia="zh-CN"/>
              </w:rPr>
            </w:pPr>
            <w:r>
              <w:rPr>
                <w:rFonts w:hint="eastAsia" w:ascii="宋体" w:hAnsi="宋体" w:cs="宋体"/>
                <w:sz w:val="18"/>
                <w:szCs w:val="18"/>
                <w:lang w:val="en-US" w:eastAsia="zh-CN"/>
              </w:rPr>
              <w:t>0.09</w:t>
            </w:r>
          </w:p>
        </w:tc>
      </w:tr>
      <w:tr w14:paraId="19207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jc w:val="center"/>
        </w:trPr>
        <w:tc>
          <w:tcPr>
            <w:tcW w:w="941" w:type="pct"/>
            <w:tcBorders>
              <w:top w:val="single" w:color="000000" w:sz="4" w:space="0"/>
              <w:left w:val="single" w:color="000000" w:sz="4" w:space="0"/>
              <w:bottom w:val="single" w:color="000000" w:sz="4" w:space="0"/>
              <w:right w:val="single" w:color="auto" w:sz="4" w:space="0"/>
            </w:tcBorders>
            <w:shd w:val="clear" w:color="auto" w:fill="auto"/>
            <w:noWrap/>
            <w:vAlign w:val="top"/>
          </w:tcPr>
          <w:p w14:paraId="01D499B9">
            <w:pPr>
              <w:jc w:val="center"/>
              <w:rPr>
                <w:rFonts w:hint="eastAsia" w:ascii="宋体" w:hAnsi="宋体" w:cs="宋体"/>
                <w:sz w:val="18"/>
                <w:szCs w:val="18"/>
                <w:lang w:val="en-US" w:eastAsia="en-US"/>
              </w:rPr>
            </w:pPr>
            <w:r>
              <w:rPr>
                <w:rFonts w:hint="eastAsia" w:ascii="宋体" w:hAnsi="宋体" w:cs="宋体"/>
                <w:sz w:val="18"/>
                <w:szCs w:val="18"/>
                <w:lang w:val="en-US" w:eastAsia="zh-CN"/>
              </w:rPr>
              <w:t>H63</w:t>
            </w:r>
          </w:p>
        </w:tc>
        <w:tc>
          <w:tcPr>
            <w:tcW w:w="973" w:type="pct"/>
            <w:tcBorders>
              <w:top w:val="single" w:color="auto" w:sz="4" w:space="0"/>
              <w:left w:val="single" w:color="auto" w:sz="4" w:space="0"/>
              <w:bottom w:val="single" w:color="auto" w:sz="4" w:space="0"/>
              <w:right w:val="single" w:color="auto" w:sz="4" w:space="0"/>
            </w:tcBorders>
            <w:shd w:val="clear" w:color="auto" w:fill="auto"/>
            <w:noWrap/>
            <w:vAlign w:val="top"/>
          </w:tcPr>
          <w:p w14:paraId="029D60CF">
            <w:pPr>
              <w:jc w:val="center"/>
              <w:rPr>
                <w:rFonts w:hint="eastAsia" w:ascii="宋体" w:hAnsi="宋体" w:cs="宋体"/>
                <w:sz w:val="18"/>
                <w:szCs w:val="18"/>
                <w:lang w:val="en-US" w:eastAsia="zh-CN"/>
              </w:rPr>
            </w:pPr>
            <w:r>
              <w:rPr>
                <w:rFonts w:hint="eastAsia" w:ascii="宋体" w:hAnsi="宋体" w:cs="宋体"/>
                <w:sz w:val="18"/>
                <w:szCs w:val="18"/>
                <w:lang w:val="en-US" w:eastAsia="zh-CN"/>
              </w:rPr>
              <w:t>0.03</w:t>
            </w:r>
          </w:p>
        </w:tc>
        <w:tc>
          <w:tcPr>
            <w:tcW w:w="1016" w:type="pct"/>
            <w:tcBorders>
              <w:top w:val="single" w:color="auto" w:sz="4" w:space="0"/>
              <w:left w:val="single" w:color="auto" w:sz="4" w:space="0"/>
              <w:bottom w:val="single" w:color="auto" w:sz="4" w:space="0"/>
              <w:right w:val="single" w:color="auto" w:sz="4" w:space="0"/>
            </w:tcBorders>
            <w:shd w:val="clear" w:color="auto" w:fill="auto"/>
            <w:noWrap/>
            <w:vAlign w:val="top"/>
          </w:tcPr>
          <w:p w14:paraId="2B20838E">
            <w:pPr>
              <w:jc w:val="center"/>
              <w:rPr>
                <w:rFonts w:hint="eastAsia" w:ascii="宋体" w:hAnsi="宋体" w:cs="宋体"/>
                <w:sz w:val="18"/>
                <w:szCs w:val="18"/>
                <w:lang w:val="en-US" w:eastAsia="zh-CN"/>
              </w:rPr>
            </w:pPr>
            <w:r>
              <w:rPr>
                <w:rFonts w:hint="eastAsia" w:ascii="宋体" w:hAnsi="宋体" w:cs="宋体"/>
                <w:sz w:val="18"/>
                <w:szCs w:val="18"/>
                <w:lang w:val="en-US" w:eastAsia="zh-CN"/>
              </w:rPr>
              <w:t>0.015</w:t>
            </w:r>
          </w:p>
        </w:tc>
        <w:tc>
          <w:tcPr>
            <w:tcW w:w="1006" w:type="pct"/>
            <w:tcBorders>
              <w:top w:val="single" w:color="auto" w:sz="4" w:space="0"/>
              <w:left w:val="single" w:color="auto" w:sz="4" w:space="0"/>
              <w:bottom w:val="single" w:color="auto" w:sz="4" w:space="0"/>
              <w:right w:val="single" w:color="auto" w:sz="4" w:space="0"/>
            </w:tcBorders>
            <w:shd w:val="clear" w:color="auto" w:fill="auto"/>
            <w:noWrap/>
            <w:vAlign w:val="top"/>
          </w:tcPr>
          <w:p w14:paraId="75FBD812">
            <w:pPr>
              <w:jc w:val="center"/>
              <w:rPr>
                <w:rFonts w:hint="default" w:ascii="宋体" w:hAnsi="宋体" w:cs="宋体"/>
                <w:sz w:val="18"/>
                <w:szCs w:val="18"/>
                <w:lang w:val="en-US" w:eastAsia="zh-CN"/>
              </w:rPr>
            </w:pPr>
            <w:r>
              <w:rPr>
                <w:rFonts w:hint="eastAsia" w:ascii="宋体" w:hAnsi="宋体" w:cs="宋体"/>
                <w:sz w:val="18"/>
                <w:szCs w:val="18"/>
                <w:lang w:val="en-US" w:eastAsia="zh-CN"/>
              </w:rPr>
              <w:t>0.15</w:t>
            </w:r>
          </w:p>
        </w:tc>
        <w:tc>
          <w:tcPr>
            <w:tcW w:w="1061" w:type="pct"/>
            <w:tcBorders>
              <w:top w:val="single" w:color="auto" w:sz="4" w:space="0"/>
              <w:left w:val="single" w:color="auto" w:sz="4" w:space="0"/>
              <w:bottom w:val="single" w:color="auto" w:sz="4" w:space="0"/>
              <w:right w:val="single" w:color="auto" w:sz="4" w:space="0"/>
            </w:tcBorders>
            <w:shd w:val="clear" w:color="auto" w:fill="auto"/>
            <w:noWrap/>
            <w:vAlign w:val="top"/>
          </w:tcPr>
          <w:p w14:paraId="59DDD05D">
            <w:pPr>
              <w:jc w:val="center"/>
              <w:rPr>
                <w:rFonts w:hint="eastAsia" w:ascii="宋体" w:hAnsi="宋体" w:cs="宋体"/>
                <w:sz w:val="18"/>
                <w:szCs w:val="18"/>
                <w:lang w:val="en-US" w:eastAsia="zh-CN"/>
              </w:rPr>
            </w:pPr>
            <w:r>
              <w:rPr>
                <w:rFonts w:hint="eastAsia" w:ascii="宋体" w:hAnsi="宋体" w:cs="宋体"/>
                <w:sz w:val="18"/>
                <w:szCs w:val="18"/>
                <w:lang w:val="en-US" w:eastAsia="zh-CN"/>
              </w:rPr>
              <w:t>0.08</w:t>
            </w:r>
          </w:p>
        </w:tc>
      </w:tr>
      <w:tr w14:paraId="773E0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941" w:type="pct"/>
            <w:tcBorders>
              <w:top w:val="single" w:color="000000" w:sz="4" w:space="0"/>
              <w:left w:val="single" w:color="000000" w:sz="4" w:space="0"/>
              <w:bottom w:val="single" w:color="000000" w:sz="4" w:space="0"/>
              <w:right w:val="single" w:color="auto" w:sz="4" w:space="0"/>
            </w:tcBorders>
            <w:shd w:val="clear" w:color="auto" w:fill="auto"/>
            <w:noWrap/>
            <w:vAlign w:val="top"/>
          </w:tcPr>
          <w:p w14:paraId="6D5B9CAE">
            <w:pPr>
              <w:jc w:val="center"/>
              <w:rPr>
                <w:rFonts w:hint="eastAsia" w:ascii="宋体" w:hAnsi="宋体" w:cs="宋体"/>
                <w:sz w:val="18"/>
                <w:szCs w:val="18"/>
                <w:lang w:val="en-US" w:eastAsia="en-US"/>
              </w:rPr>
            </w:pPr>
            <w:r>
              <w:rPr>
                <w:rFonts w:hint="eastAsia" w:ascii="宋体" w:hAnsi="宋体" w:cs="宋体"/>
                <w:sz w:val="18"/>
                <w:szCs w:val="18"/>
                <w:lang w:val="en-US" w:eastAsia="zh-CN"/>
              </w:rPr>
              <w:t>H62</w:t>
            </w:r>
          </w:p>
        </w:tc>
        <w:tc>
          <w:tcPr>
            <w:tcW w:w="973" w:type="pct"/>
            <w:tcBorders>
              <w:top w:val="single" w:color="auto" w:sz="4" w:space="0"/>
              <w:left w:val="single" w:color="auto" w:sz="4" w:space="0"/>
              <w:bottom w:val="single" w:color="auto" w:sz="4" w:space="0"/>
              <w:right w:val="single" w:color="auto" w:sz="4" w:space="0"/>
            </w:tcBorders>
            <w:shd w:val="clear" w:color="auto" w:fill="auto"/>
            <w:noWrap/>
            <w:vAlign w:val="top"/>
          </w:tcPr>
          <w:p w14:paraId="75981D5B">
            <w:pPr>
              <w:jc w:val="center"/>
              <w:rPr>
                <w:rFonts w:hint="eastAsia" w:ascii="宋体" w:hAnsi="宋体" w:cs="宋体"/>
                <w:sz w:val="18"/>
                <w:szCs w:val="18"/>
                <w:lang w:val="en-US" w:eastAsia="zh-CN"/>
              </w:rPr>
            </w:pPr>
            <w:r>
              <w:rPr>
                <w:rFonts w:hint="eastAsia" w:ascii="宋体" w:hAnsi="宋体" w:cs="宋体"/>
                <w:sz w:val="18"/>
                <w:szCs w:val="18"/>
                <w:lang w:val="en-US" w:eastAsia="zh-CN"/>
              </w:rPr>
              <w:t>0.06</w:t>
            </w:r>
          </w:p>
        </w:tc>
        <w:tc>
          <w:tcPr>
            <w:tcW w:w="1016" w:type="pct"/>
            <w:tcBorders>
              <w:top w:val="single" w:color="auto" w:sz="4" w:space="0"/>
              <w:left w:val="single" w:color="auto" w:sz="4" w:space="0"/>
              <w:bottom w:val="single" w:color="auto" w:sz="4" w:space="0"/>
              <w:right w:val="single" w:color="auto" w:sz="4" w:space="0"/>
            </w:tcBorders>
            <w:shd w:val="clear" w:color="auto" w:fill="auto"/>
            <w:noWrap/>
            <w:vAlign w:val="top"/>
          </w:tcPr>
          <w:p w14:paraId="200D6E0E">
            <w:pPr>
              <w:jc w:val="center"/>
              <w:rPr>
                <w:rFonts w:hint="eastAsia" w:ascii="宋体" w:hAnsi="宋体" w:cs="宋体"/>
                <w:sz w:val="18"/>
                <w:szCs w:val="18"/>
                <w:lang w:val="en-US" w:eastAsia="zh-CN"/>
              </w:rPr>
            </w:pPr>
            <w:r>
              <w:rPr>
                <w:rFonts w:hint="eastAsia" w:ascii="宋体" w:hAnsi="宋体" w:cs="宋体"/>
                <w:sz w:val="18"/>
                <w:szCs w:val="18"/>
                <w:lang w:val="en-US" w:eastAsia="zh-CN"/>
              </w:rPr>
              <w:t>0.02</w:t>
            </w:r>
          </w:p>
        </w:tc>
        <w:tc>
          <w:tcPr>
            <w:tcW w:w="1006" w:type="pct"/>
            <w:tcBorders>
              <w:top w:val="single" w:color="auto" w:sz="4" w:space="0"/>
              <w:left w:val="single" w:color="auto" w:sz="4" w:space="0"/>
              <w:bottom w:val="single" w:color="auto" w:sz="4" w:space="0"/>
              <w:right w:val="single" w:color="auto" w:sz="4" w:space="0"/>
            </w:tcBorders>
            <w:shd w:val="clear" w:color="auto" w:fill="auto"/>
            <w:noWrap/>
            <w:vAlign w:val="top"/>
          </w:tcPr>
          <w:p w14:paraId="72DC407E">
            <w:pPr>
              <w:jc w:val="center"/>
              <w:rPr>
                <w:rFonts w:hint="default" w:ascii="宋体" w:hAnsi="宋体" w:cs="宋体"/>
                <w:sz w:val="18"/>
                <w:szCs w:val="18"/>
                <w:lang w:val="en-US" w:eastAsia="zh-CN"/>
              </w:rPr>
            </w:pPr>
            <w:r>
              <w:rPr>
                <w:rFonts w:hint="eastAsia" w:ascii="宋体" w:hAnsi="宋体" w:cs="宋体"/>
                <w:sz w:val="18"/>
                <w:szCs w:val="18"/>
                <w:lang w:val="en-US" w:eastAsia="zh-CN"/>
              </w:rPr>
              <w:t>0.15</w:t>
            </w:r>
          </w:p>
        </w:tc>
        <w:tc>
          <w:tcPr>
            <w:tcW w:w="1061" w:type="pct"/>
            <w:tcBorders>
              <w:top w:val="single" w:color="auto" w:sz="4" w:space="0"/>
              <w:left w:val="single" w:color="auto" w:sz="4" w:space="0"/>
              <w:bottom w:val="single" w:color="auto" w:sz="4" w:space="0"/>
              <w:right w:val="single" w:color="auto" w:sz="4" w:space="0"/>
            </w:tcBorders>
            <w:shd w:val="clear" w:color="auto" w:fill="auto"/>
            <w:noWrap/>
            <w:vAlign w:val="top"/>
          </w:tcPr>
          <w:p w14:paraId="3289E525">
            <w:pPr>
              <w:jc w:val="center"/>
              <w:rPr>
                <w:rFonts w:hint="eastAsia" w:ascii="宋体" w:hAnsi="宋体" w:cs="宋体"/>
                <w:sz w:val="18"/>
                <w:szCs w:val="18"/>
                <w:lang w:val="en-US" w:eastAsia="zh-CN"/>
              </w:rPr>
            </w:pPr>
            <w:r>
              <w:rPr>
                <w:rFonts w:hint="eastAsia" w:ascii="宋体" w:hAnsi="宋体" w:cs="宋体"/>
                <w:sz w:val="18"/>
                <w:szCs w:val="18"/>
                <w:lang w:val="en-US" w:eastAsia="zh-CN"/>
              </w:rPr>
              <w:t>0.08</w:t>
            </w:r>
          </w:p>
        </w:tc>
      </w:tr>
      <w:tr w14:paraId="5FEAE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941" w:type="pct"/>
            <w:tcBorders>
              <w:top w:val="single" w:color="000000" w:sz="4" w:space="0"/>
              <w:left w:val="single" w:color="000000" w:sz="4" w:space="0"/>
              <w:bottom w:val="single" w:color="000000" w:sz="4" w:space="0"/>
              <w:right w:val="single" w:color="auto" w:sz="4" w:space="0"/>
            </w:tcBorders>
            <w:shd w:val="clear" w:color="auto" w:fill="auto"/>
            <w:noWrap/>
            <w:vAlign w:val="top"/>
          </w:tcPr>
          <w:p w14:paraId="0648E090">
            <w:pPr>
              <w:jc w:val="center"/>
              <w:rPr>
                <w:rFonts w:hint="eastAsia" w:ascii="宋体" w:hAnsi="宋体" w:cs="宋体"/>
                <w:sz w:val="18"/>
                <w:szCs w:val="18"/>
                <w:lang w:val="en-US" w:eastAsia="en-US"/>
              </w:rPr>
            </w:pPr>
            <w:r>
              <w:rPr>
                <w:rFonts w:hint="eastAsia" w:ascii="宋体" w:hAnsi="宋体" w:cs="宋体"/>
                <w:sz w:val="18"/>
                <w:szCs w:val="18"/>
                <w:lang w:val="en-US" w:eastAsia="zh-CN"/>
              </w:rPr>
              <w:t>H60</w:t>
            </w:r>
          </w:p>
        </w:tc>
        <w:tc>
          <w:tcPr>
            <w:tcW w:w="973" w:type="pct"/>
            <w:tcBorders>
              <w:top w:val="single" w:color="auto" w:sz="4" w:space="0"/>
              <w:left w:val="single" w:color="auto" w:sz="4" w:space="0"/>
              <w:bottom w:val="single" w:color="auto" w:sz="4" w:space="0"/>
              <w:right w:val="single" w:color="auto" w:sz="4" w:space="0"/>
            </w:tcBorders>
            <w:shd w:val="clear" w:color="auto" w:fill="auto"/>
            <w:noWrap/>
            <w:vAlign w:val="top"/>
          </w:tcPr>
          <w:p w14:paraId="05297BA9">
            <w:pPr>
              <w:jc w:val="center"/>
              <w:rPr>
                <w:rFonts w:hint="eastAsia" w:ascii="宋体" w:hAnsi="宋体" w:cs="宋体"/>
                <w:sz w:val="18"/>
                <w:szCs w:val="18"/>
                <w:lang w:val="en-US" w:eastAsia="en-US"/>
              </w:rPr>
            </w:pPr>
            <w:r>
              <w:rPr>
                <w:rFonts w:hint="eastAsia" w:ascii="宋体" w:hAnsi="宋体" w:cs="宋体"/>
                <w:sz w:val="18"/>
                <w:szCs w:val="18"/>
                <w:lang w:val="en-US" w:eastAsia="zh-CN"/>
              </w:rPr>
              <w:t>0.06</w:t>
            </w:r>
          </w:p>
        </w:tc>
        <w:tc>
          <w:tcPr>
            <w:tcW w:w="1016" w:type="pct"/>
            <w:tcBorders>
              <w:top w:val="single" w:color="auto" w:sz="4" w:space="0"/>
              <w:left w:val="single" w:color="auto" w:sz="4" w:space="0"/>
              <w:bottom w:val="single" w:color="auto" w:sz="4" w:space="0"/>
              <w:right w:val="single" w:color="auto" w:sz="4" w:space="0"/>
            </w:tcBorders>
            <w:shd w:val="clear" w:color="auto" w:fill="auto"/>
            <w:noWrap/>
            <w:vAlign w:val="top"/>
          </w:tcPr>
          <w:p w14:paraId="61028B27">
            <w:pPr>
              <w:jc w:val="center"/>
              <w:rPr>
                <w:rFonts w:hint="eastAsia" w:ascii="宋体" w:hAnsi="宋体" w:cs="宋体"/>
                <w:sz w:val="18"/>
                <w:szCs w:val="18"/>
                <w:lang w:val="en-US" w:eastAsia="zh-CN"/>
              </w:rPr>
            </w:pPr>
            <w:r>
              <w:rPr>
                <w:rFonts w:hint="eastAsia" w:ascii="宋体" w:hAnsi="宋体" w:cs="宋体"/>
                <w:sz w:val="18"/>
                <w:szCs w:val="18"/>
                <w:lang w:val="en-US" w:eastAsia="zh-CN"/>
              </w:rPr>
              <w:t>0.02</w:t>
            </w:r>
          </w:p>
        </w:tc>
        <w:tc>
          <w:tcPr>
            <w:tcW w:w="1006" w:type="pct"/>
            <w:tcBorders>
              <w:top w:val="single" w:color="auto" w:sz="4" w:space="0"/>
              <w:left w:val="single" w:color="auto" w:sz="4" w:space="0"/>
              <w:bottom w:val="single" w:color="auto" w:sz="4" w:space="0"/>
              <w:right w:val="single" w:color="auto" w:sz="4" w:space="0"/>
            </w:tcBorders>
            <w:shd w:val="clear" w:color="auto" w:fill="auto"/>
            <w:noWrap/>
            <w:vAlign w:val="top"/>
          </w:tcPr>
          <w:p w14:paraId="7281C9D2">
            <w:pPr>
              <w:jc w:val="center"/>
              <w:rPr>
                <w:rFonts w:hint="default" w:ascii="宋体" w:hAnsi="宋体" w:cs="宋体"/>
                <w:sz w:val="18"/>
                <w:szCs w:val="18"/>
                <w:lang w:val="en-US" w:eastAsia="zh-CN"/>
              </w:rPr>
            </w:pPr>
            <w:r>
              <w:rPr>
                <w:rFonts w:hint="eastAsia" w:ascii="宋体" w:hAnsi="宋体" w:cs="宋体"/>
                <w:sz w:val="18"/>
                <w:szCs w:val="18"/>
                <w:lang w:val="en-US" w:eastAsia="zh-CN"/>
              </w:rPr>
              <w:t>0.15</w:t>
            </w:r>
          </w:p>
        </w:tc>
        <w:tc>
          <w:tcPr>
            <w:tcW w:w="1061" w:type="pct"/>
            <w:tcBorders>
              <w:top w:val="single" w:color="auto" w:sz="4" w:space="0"/>
              <w:left w:val="single" w:color="auto" w:sz="4" w:space="0"/>
              <w:bottom w:val="single" w:color="auto" w:sz="4" w:space="0"/>
              <w:right w:val="single" w:color="auto" w:sz="4" w:space="0"/>
            </w:tcBorders>
            <w:shd w:val="clear" w:color="auto" w:fill="auto"/>
            <w:noWrap/>
            <w:vAlign w:val="top"/>
          </w:tcPr>
          <w:p w14:paraId="51E4B732">
            <w:pPr>
              <w:jc w:val="center"/>
              <w:rPr>
                <w:rFonts w:hint="eastAsia" w:ascii="宋体" w:hAnsi="宋体" w:cs="宋体"/>
                <w:sz w:val="18"/>
                <w:szCs w:val="18"/>
                <w:lang w:val="en-US" w:eastAsia="zh-CN"/>
              </w:rPr>
            </w:pPr>
            <w:r>
              <w:rPr>
                <w:rFonts w:hint="eastAsia" w:ascii="宋体" w:hAnsi="宋体" w:cs="宋体"/>
                <w:sz w:val="18"/>
                <w:szCs w:val="18"/>
                <w:lang w:val="en-US" w:eastAsia="zh-CN"/>
              </w:rPr>
              <w:t>0.08</w:t>
            </w:r>
          </w:p>
        </w:tc>
      </w:tr>
      <w:tr w14:paraId="15D9F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 w:hRule="atLeast"/>
          <w:jc w:val="center"/>
        </w:trPr>
        <w:tc>
          <w:tcPr>
            <w:tcW w:w="941" w:type="pct"/>
            <w:tcBorders>
              <w:top w:val="single" w:color="000000" w:sz="4" w:space="0"/>
              <w:left w:val="single" w:color="000000" w:sz="4" w:space="0"/>
              <w:bottom w:val="single" w:color="000000" w:sz="4" w:space="0"/>
              <w:right w:val="single" w:color="auto" w:sz="4" w:space="0"/>
            </w:tcBorders>
            <w:shd w:val="clear" w:color="auto" w:fill="auto"/>
            <w:noWrap/>
            <w:vAlign w:val="top"/>
          </w:tcPr>
          <w:p w14:paraId="7C068CD2">
            <w:pPr>
              <w:jc w:val="center"/>
              <w:rPr>
                <w:rFonts w:hint="eastAsia" w:ascii="宋体" w:hAnsi="宋体" w:cs="宋体"/>
                <w:sz w:val="18"/>
                <w:szCs w:val="18"/>
                <w:lang w:val="en-US" w:eastAsia="en-US"/>
              </w:rPr>
            </w:pPr>
            <w:r>
              <w:rPr>
                <w:rFonts w:hint="eastAsia" w:ascii="宋体" w:hAnsi="宋体" w:cs="宋体"/>
                <w:sz w:val="18"/>
                <w:szCs w:val="18"/>
                <w:lang w:val="en-US" w:eastAsia="zh-CN"/>
              </w:rPr>
              <w:t>H59</w:t>
            </w:r>
          </w:p>
        </w:tc>
        <w:tc>
          <w:tcPr>
            <w:tcW w:w="973" w:type="pct"/>
            <w:tcBorders>
              <w:top w:val="single" w:color="auto" w:sz="4" w:space="0"/>
              <w:left w:val="single" w:color="auto" w:sz="4" w:space="0"/>
              <w:bottom w:val="single" w:color="auto" w:sz="4" w:space="0"/>
              <w:right w:val="single" w:color="auto" w:sz="4" w:space="0"/>
            </w:tcBorders>
            <w:shd w:val="clear" w:color="auto" w:fill="auto"/>
            <w:noWrap/>
            <w:vAlign w:val="top"/>
          </w:tcPr>
          <w:p w14:paraId="09CB1C28">
            <w:pPr>
              <w:jc w:val="center"/>
              <w:rPr>
                <w:rFonts w:hint="eastAsia" w:ascii="宋体" w:hAnsi="宋体" w:cs="宋体"/>
                <w:sz w:val="18"/>
                <w:szCs w:val="18"/>
                <w:lang w:val="en-US" w:eastAsia="en-US"/>
              </w:rPr>
            </w:pPr>
            <w:r>
              <w:rPr>
                <w:rFonts w:hint="eastAsia" w:ascii="宋体" w:hAnsi="宋体" w:cs="宋体"/>
                <w:sz w:val="18"/>
                <w:szCs w:val="18"/>
                <w:lang w:val="en-US" w:eastAsia="zh-CN"/>
              </w:rPr>
              <w:t>0.07</w:t>
            </w:r>
          </w:p>
        </w:tc>
        <w:tc>
          <w:tcPr>
            <w:tcW w:w="1016" w:type="pct"/>
            <w:tcBorders>
              <w:top w:val="single" w:color="auto" w:sz="4" w:space="0"/>
              <w:left w:val="single" w:color="auto" w:sz="4" w:space="0"/>
              <w:bottom w:val="single" w:color="auto" w:sz="4" w:space="0"/>
              <w:right w:val="single" w:color="auto" w:sz="4" w:space="0"/>
            </w:tcBorders>
            <w:shd w:val="clear" w:color="auto" w:fill="auto"/>
            <w:noWrap/>
            <w:vAlign w:val="top"/>
          </w:tcPr>
          <w:p w14:paraId="161715E6">
            <w:pPr>
              <w:jc w:val="center"/>
              <w:rPr>
                <w:rFonts w:hint="eastAsia" w:ascii="宋体" w:hAnsi="宋体" w:cs="宋体"/>
                <w:sz w:val="18"/>
                <w:szCs w:val="18"/>
                <w:lang w:val="en-US" w:eastAsia="zh-CN"/>
              </w:rPr>
            </w:pPr>
            <w:r>
              <w:rPr>
                <w:rFonts w:hint="eastAsia" w:ascii="宋体" w:hAnsi="宋体" w:cs="宋体"/>
                <w:sz w:val="18"/>
                <w:szCs w:val="18"/>
                <w:lang w:val="en-US" w:eastAsia="zh-CN"/>
              </w:rPr>
              <w:t>0.02</w:t>
            </w:r>
          </w:p>
        </w:tc>
        <w:tc>
          <w:tcPr>
            <w:tcW w:w="1006" w:type="pct"/>
            <w:tcBorders>
              <w:top w:val="single" w:color="auto" w:sz="4" w:space="0"/>
              <w:left w:val="single" w:color="auto" w:sz="4" w:space="0"/>
              <w:bottom w:val="single" w:color="auto" w:sz="4" w:space="0"/>
              <w:right w:val="single" w:color="auto" w:sz="4" w:space="0"/>
            </w:tcBorders>
            <w:shd w:val="clear" w:color="auto" w:fill="auto"/>
            <w:noWrap/>
            <w:vAlign w:val="top"/>
          </w:tcPr>
          <w:p w14:paraId="4F5F0B3A">
            <w:pPr>
              <w:jc w:val="center"/>
              <w:rPr>
                <w:rFonts w:hint="eastAsia" w:ascii="宋体" w:hAnsi="宋体" w:cs="宋体"/>
                <w:sz w:val="18"/>
                <w:szCs w:val="18"/>
                <w:lang w:val="en-US" w:eastAsia="zh-CN"/>
              </w:rPr>
            </w:pPr>
            <w:r>
              <w:rPr>
                <w:rFonts w:hint="eastAsia" w:ascii="宋体" w:hAnsi="宋体" w:cs="宋体"/>
                <w:sz w:val="18"/>
                <w:szCs w:val="18"/>
                <w:lang w:val="en-US" w:eastAsia="zh-CN"/>
              </w:rPr>
              <w:t>0.3</w:t>
            </w:r>
          </w:p>
        </w:tc>
        <w:tc>
          <w:tcPr>
            <w:tcW w:w="1061" w:type="pct"/>
            <w:tcBorders>
              <w:top w:val="single" w:color="auto" w:sz="4" w:space="0"/>
              <w:left w:val="single" w:color="auto" w:sz="4" w:space="0"/>
              <w:bottom w:val="single" w:color="auto" w:sz="4" w:space="0"/>
              <w:right w:val="single" w:color="auto" w:sz="4" w:space="0"/>
            </w:tcBorders>
            <w:shd w:val="clear" w:color="auto" w:fill="auto"/>
            <w:noWrap/>
            <w:vAlign w:val="top"/>
          </w:tcPr>
          <w:p w14:paraId="42C49725">
            <w:pPr>
              <w:jc w:val="center"/>
              <w:rPr>
                <w:rFonts w:hint="eastAsia" w:ascii="宋体" w:hAnsi="宋体" w:cs="宋体"/>
                <w:sz w:val="18"/>
                <w:szCs w:val="18"/>
                <w:lang w:val="en-US" w:eastAsia="zh-CN"/>
              </w:rPr>
            </w:pPr>
            <w:r>
              <w:rPr>
                <w:rFonts w:hint="eastAsia" w:ascii="宋体" w:hAnsi="宋体" w:cs="宋体"/>
                <w:sz w:val="18"/>
                <w:szCs w:val="18"/>
                <w:lang w:val="en-US" w:eastAsia="zh-CN"/>
              </w:rPr>
              <w:t>0.5</w:t>
            </w:r>
          </w:p>
        </w:tc>
      </w:tr>
    </w:tbl>
    <w:p w14:paraId="1774A416">
      <w:pPr>
        <w:numPr>
          <w:ilvl w:val="0"/>
          <w:numId w:val="0"/>
        </w:numPr>
        <w:jc w:val="center"/>
        <w:rPr>
          <w:rFonts w:hint="eastAsia" w:ascii="仿宋" w:hAnsi="仿宋" w:eastAsia="仿宋" w:cs="仿宋"/>
          <w:b w:val="0"/>
          <w:bCs w:val="0"/>
          <w:color w:val="auto"/>
          <w:sz w:val="24"/>
          <w:szCs w:val="24"/>
          <w:lang w:val="en-US" w:eastAsia="zh-CN"/>
        </w:rPr>
      </w:pPr>
    </w:p>
    <w:p w14:paraId="042602AF">
      <w:pPr>
        <w:numPr>
          <w:ilvl w:val="0"/>
          <w:numId w:val="0"/>
        </w:numPr>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8"/>
          <w:szCs w:val="28"/>
          <w:lang w:val="en-US" w:eastAsia="zh-CN"/>
        </w:rPr>
        <w:t>表2 “江西绿色生态”</w:t>
      </w:r>
      <w:r>
        <w:rPr>
          <w:rFonts w:hint="default" w:ascii="仿宋" w:hAnsi="仿宋" w:eastAsia="仿宋" w:cs="仿宋"/>
          <w:b w:val="0"/>
          <w:bCs w:val="0"/>
          <w:color w:val="auto"/>
          <w:sz w:val="28"/>
          <w:szCs w:val="28"/>
          <w:lang w:eastAsia="zh-CN"/>
        </w:rPr>
        <w:t>普通黄铜带材厚度偏差</w:t>
      </w:r>
      <w:r>
        <w:rPr>
          <w:rFonts w:hint="eastAsia" w:ascii="仿宋" w:hAnsi="仿宋" w:eastAsia="仿宋" w:cs="仿宋"/>
          <w:b w:val="0"/>
          <w:bCs w:val="0"/>
          <w:color w:val="auto"/>
          <w:sz w:val="28"/>
          <w:szCs w:val="28"/>
          <w:lang w:val="en-US" w:eastAsia="zh-CN"/>
        </w:rPr>
        <w:t>指标先进性分析</w:t>
      </w:r>
    </w:p>
    <w:p w14:paraId="39F10965">
      <w:pPr>
        <w:numPr>
          <w:ilvl w:val="0"/>
          <w:numId w:val="0"/>
        </w:numPr>
        <w:jc w:val="center"/>
        <w:rPr>
          <w:rFonts w:hint="eastAsia" w:ascii="仿宋" w:hAnsi="仿宋" w:eastAsia="仿宋" w:cs="仿宋"/>
          <w:b w:val="0"/>
          <w:bCs w:val="0"/>
          <w:color w:val="auto"/>
          <w:sz w:val="24"/>
          <w:szCs w:val="24"/>
          <w:lang w:val="en-US" w:eastAsia="zh-CN"/>
        </w:rPr>
      </w:pPr>
    </w:p>
    <w:tbl>
      <w:tblPr>
        <w:tblStyle w:val="6"/>
        <w:tblW w:w="8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760"/>
        <w:gridCol w:w="720"/>
        <w:gridCol w:w="760"/>
        <w:gridCol w:w="760"/>
        <w:gridCol w:w="690"/>
        <w:gridCol w:w="730"/>
        <w:gridCol w:w="750"/>
        <w:gridCol w:w="690"/>
        <w:gridCol w:w="720"/>
        <w:gridCol w:w="760"/>
      </w:tblGrid>
      <w:tr w14:paraId="5B80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236" w:type="dxa"/>
            <w:vMerge w:val="restart"/>
            <w:vAlign w:val="center"/>
          </w:tcPr>
          <w:p w14:paraId="6C4C67AE">
            <w:pPr>
              <w:jc w:val="center"/>
              <w:rPr>
                <w:rFonts w:ascii="宋体" w:hAnsi="宋体" w:cs="宋体"/>
                <w:sz w:val="18"/>
                <w:szCs w:val="18"/>
              </w:rPr>
            </w:pPr>
            <w:r>
              <w:rPr>
                <w:rFonts w:hint="eastAsia" w:ascii="宋体" w:hAnsi="宋体" w:cs="宋体"/>
                <w:sz w:val="18"/>
                <w:szCs w:val="18"/>
              </w:rPr>
              <w:t>厚度</w:t>
            </w:r>
          </w:p>
        </w:tc>
        <w:tc>
          <w:tcPr>
            <w:tcW w:w="7340" w:type="dxa"/>
            <w:gridSpan w:val="10"/>
            <w:vAlign w:val="center"/>
          </w:tcPr>
          <w:p w14:paraId="30A21FEA">
            <w:pPr>
              <w:jc w:val="center"/>
              <w:rPr>
                <w:rFonts w:ascii="宋体" w:hAnsi="宋体" w:cs="宋体"/>
                <w:sz w:val="18"/>
                <w:szCs w:val="18"/>
              </w:rPr>
            </w:pPr>
            <w:r>
              <w:rPr>
                <w:rFonts w:hint="eastAsia" w:ascii="宋体" w:hAnsi="宋体" w:cs="宋体"/>
                <w:sz w:val="18"/>
                <w:szCs w:val="18"/>
              </w:rPr>
              <w:t>宽度</w:t>
            </w:r>
          </w:p>
        </w:tc>
      </w:tr>
      <w:tr w14:paraId="4645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236" w:type="dxa"/>
            <w:vMerge w:val="continue"/>
            <w:vAlign w:val="center"/>
          </w:tcPr>
          <w:p w14:paraId="2684535E">
            <w:pPr>
              <w:jc w:val="center"/>
              <w:rPr>
                <w:rFonts w:ascii="宋体" w:hAnsi="宋体" w:cs="宋体"/>
                <w:sz w:val="18"/>
                <w:szCs w:val="18"/>
              </w:rPr>
            </w:pPr>
          </w:p>
        </w:tc>
        <w:tc>
          <w:tcPr>
            <w:tcW w:w="1480" w:type="dxa"/>
            <w:gridSpan w:val="2"/>
            <w:vAlign w:val="center"/>
          </w:tcPr>
          <w:p w14:paraId="7847C6BB">
            <w:pPr>
              <w:jc w:val="center"/>
              <w:rPr>
                <w:rFonts w:ascii="宋体" w:hAnsi="宋体" w:cs="宋体"/>
                <w:sz w:val="18"/>
                <w:szCs w:val="18"/>
              </w:rPr>
            </w:pPr>
            <w:r>
              <w:rPr>
                <w:rFonts w:ascii="Arial" w:hAnsi="Arial" w:cs="Arial"/>
                <w:sz w:val="18"/>
                <w:szCs w:val="18"/>
              </w:rPr>
              <w:t>≤</w:t>
            </w:r>
            <w:r>
              <w:rPr>
                <w:rFonts w:hint="eastAsia" w:ascii="宋体" w:hAnsi="宋体" w:cs="宋体"/>
                <w:sz w:val="18"/>
                <w:szCs w:val="18"/>
              </w:rPr>
              <w:t>200</w:t>
            </w:r>
          </w:p>
        </w:tc>
        <w:tc>
          <w:tcPr>
            <w:tcW w:w="1520" w:type="dxa"/>
            <w:gridSpan w:val="2"/>
            <w:vAlign w:val="center"/>
          </w:tcPr>
          <w:p w14:paraId="7403673A">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200</w:t>
            </w:r>
            <w:r>
              <w:rPr>
                <w:rFonts w:hint="eastAsia" w:ascii="微软雅黑" w:hAnsi="微软雅黑" w:eastAsia="微软雅黑" w:cs="微软雅黑"/>
                <w:sz w:val="18"/>
                <w:szCs w:val="18"/>
              </w:rPr>
              <w:t>~</w:t>
            </w:r>
            <w:r>
              <w:rPr>
                <w:rFonts w:hint="eastAsia" w:ascii="宋体" w:hAnsi="宋体" w:cs="宋体"/>
                <w:sz w:val="18"/>
                <w:szCs w:val="18"/>
              </w:rPr>
              <w:t>300</w:t>
            </w:r>
          </w:p>
        </w:tc>
        <w:tc>
          <w:tcPr>
            <w:tcW w:w="1420" w:type="dxa"/>
            <w:gridSpan w:val="2"/>
            <w:vAlign w:val="center"/>
          </w:tcPr>
          <w:p w14:paraId="2FF5E184">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300</w:t>
            </w:r>
            <w:r>
              <w:rPr>
                <w:rFonts w:hint="eastAsia" w:ascii="微软雅黑" w:hAnsi="微软雅黑" w:eastAsia="微软雅黑" w:cs="微软雅黑"/>
                <w:sz w:val="18"/>
                <w:szCs w:val="18"/>
              </w:rPr>
              <w:t>~</w:t>
            </w:r>
            <w:r>
              <w:rPr>
                <w:rFonts w:hint="eastAsia" w:ascii="宋体" w:hAnsi="宋体" w:cs="宋体"/>
                <w:sz w:val="18"/>
                <w:szCs w:val="18"/>
              </w:rPr>
              <w:t>400</w:t>
            </w:r>
          </w:p>
        </w:tc>
        <w:tc>
          <w:tcPr>
            <w:tcW w:w="1440" w:type="dxa"/>
            <w:gridSpan w:val="2"/>
            <w:vAlign w:val="center"/>
          </w:tcPr>
          <w:p w14:paraId="12011299">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400</w:t>
            </w:r>
            <w:r>
              <w:rPr>
                <w:rFonts w:hint="eastAsia" w:ascii="微软雅黑" w:hAnsi="微软雅黑" w:eastAsia="微软雅黑" w:cs="微软雅黑"/>
                <w:sz w:val="18"/>
                <w:szCs w:val="18"/>
              </w:rPr>
              <w:t>~</w:t>
            </w:r>
            <w:r>
              <w:rPr>
                <w:rFonts w:hint="eastAsia" w:ascii="宋体" w:hAnsi="宋体" w:cs="宋体"/>
                <w:sz w:val="18"/>
                <w:szCs w:val="18"/>
              </w:rPr>
              <w:t>700</w:t>
            </w:r>
          </w:p>
        </w:tc>
        <w:tc>
          <w:tcPr>
            <w:tcW w:w="1480" w:type="dxa"/>
            <w:gridSpan w:val="2"/>
            <w:vAlign w:val="center"/>
          </w:tcPr>
          <w:p w14:paraId="74511AD8">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700</w:t>
            </w:r>
            <w:r>
              <w:rPr>
                <w:rFonts w:hint="eastAsia" w:ascii="微软雅黑" w:hAnsi="微软雅黑" w:eastAsia="微软雅黑" w:cs="微软雅黑"/>
                <w:sz w:val="18"/>
                <w:szCs w:val="18"/>
              </w:rPr>
              <w:t>~</w:t>
            </w:r>
            <w:r>
              <w:rPr>
                <w:rFonts w:hint="eastAsia" w:ascii="宋体" w:hAnsi="宋体" w:cs="宋体"/>
                <w:sz w:val="18"/>
                <w:szCs w:val="18"/>
              </w:rPr>
              <w:t>1200</w:t>
            </w:r>
          </w:p>
        </w:tc>
      </w:tr>
      <w:tr w14:paraId="1DB3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236" w:type="dxa"/>
            <w:vMerge w:val="continue"/>
            <w:vAlign w:val="center"/>
          </w:tcPr>
          <w:p w14:paraId="2628FE3F">
            <w:pPr>
              <w:jc w:val="center"/>
              <w:rPr>
                <w:rFonts w:ascii="宋体" w:hAnsi="宋体" w:cs="宋体"/>
                <w:sz w:val="18"/>
                <w:szCs w:val="18"/>
              </w:rPr>
            </w:pPr>
          </w:p>
        </w:tc>
        <w:tc>
          <w:tcPr>
            <w:tcW w:w="7340" w:type="dxa"/>
            <w:gridSpan w:val="10"/>
            <w:vAlign w:val="center"/>
          </w:tcPr>
          <w:p w14:paraId="52044937">
            <w:pPr>
              <w:jc w:val="center"/>
              <w:rPr>
                <w:rFonts w:ascii="宋体" w:hAnsi="宋体" w:cs="宋体"/>
                <w:sz w:val="18"/>
                <w:szCs w:val="18"/>
              </w:rPr>
            </w:pPr>
            <w:r>
              <w:rPr>
                <w:rFonts w:hint="eastAsia" w:ascii="宋体" w:hAnsi="宋体" w:cs="宋体"/>
                <w:sz w:val="18"/>
                <w:szCs w:val="18"/>
              </w:rPr>
              <w:t>厚度允许偏差，</w:t>
            </w:r>
            <w:r>
              <w:rPr>
                <w:rFonts w:hint="eastAsia" w:ascii="微软雅黑" w:hAnsi="微软雅黑" w:eastAsia="微软雅黑" w:cs="微软雅黑"/>
                <w:sz w:val="18"/>
                <w:szCs w:val="18"/>
              </w:rPr>
              <w:t>±</w:t>
            </w:r>
          </w:p>
        </w:tc>
      </w:tr>
      <w:tr w14:paraId="3DCC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236" w:type="dxa"/>
            <w:vMerge w:val="continue"/>
            <w:vAlign w:val="center"/>
          </w:tcPr>
          <w:p w14:paraId="6FD19E23">
            <w:pPr>
              <w:jc w:val="center"/>
              <w:rPr>
                <w:rFonts w:ascii="宋体" w:hAnsi="宋体" w:cs="宋体"/>
                <w:sz w:val="18"/>
                <w:szCs w:val="18"/>
              </w:rPr>
            </w:pPr>
          </w:p>
        </w:tc>
        <w:tc>
          <w:tcPr>
            <w:tcW w:w="1480" w:type="dxa"/>
            <w:gridSpan w:val="2"/>
            <w:vAlign w:val="center"/>
          </w:tcPr>
          <w:p w14:paraId="7EA81DDC">
            <w:pPr>
              <w:jc w:val="center"/>
              <w:rPr>
                <w:rFonts w:ascii="宋体" w:hAnsi="宋体" w:cs="宋体"/>
                <w:sz w:val="18"/>
                <w:szCs w:val="18"/>
              </w:rPr>
            </w:pPr>
            <w:r>
              <w:rPr>
                <w:rFonts w:hint="eastAsia" w:ascii="宋体" w:hAnsi="宋体" w:cs="宋体"/>
                <w:sz w:val="18"/>
                <w:szCs w:val="18"/>
              </w:rPr>
              <w:t>普通级</w:t>
            </w:r>
          </w:p>
        </w:tc>
        <w:tc>
          <w:tcPr>
            <w:tcW w:w="1520" w:type="dxa"/>
            <w:gridSpan w:val="2"/>
            <w:vAlign w:val="center"/>
          </w:tcPr>
          <w:p w14:paraId="02467081">
            <w:pPr>
              <w:jc w:val="center"/>
              <w:rPr>
                <w:rFonts w:ascii="宋体" w:hAnsi="宋体" w:cs="宋体"/>
                <w:sz w:val="18"/>
                <w:szCs w:val="18"/>
              </w:rPr>
            </w:pPr>
            <w:r>
              <w:rPr>
                <w:rFonts w:hint="eastAsia" w:ascii="宋体" w:hAnsi="宋体" w:cs="宋体"/>
                <w:sz w:val="18"/>
                <w:szCs w:val="18"/>
              </w:rPr>
              <w:t>普通级</w:t>
            </w:r>
          </w:p>
        </w:tc>
        <w:tc>
          <w:tcPr>
            <w:tcW w:w="1420" w:type="dxa"/>
            <w:gridSpan w:val="2"/>
            <w:vAlign w:val="center"/>
          </w:tcPr>
          <w:p w14:paraId="11E3470D">
            <w:pPr>
              <w:jc w:val="center"/>
              <w:rPr>
                <w:rFonts w:ascii="宋体" w:hAnsi="宋体" w:cs="宋体"/>
                <w:sz w:val="18"/>
                <w:szCs w:val="18"/>
              </w:rPr>
            </w:pPr>
            <w:r>
              <w:rPr>
                <w:rFonts w:hint="eastAsia" w:ascii="宋体" w:hAnsi="宋体" w:cs="宋体"/>
                <w:sz w:val="18"/>
                <w:szCs w:val="18"/>
              </w:rPr>
              <w:t>普通级</w:t>
            </w:r>
          </w:p>
        </w:tc>
        <w:tc>
          <w:tcPr>
            <w:tcW w:w="1440" w:type="dxa"/>
            <w:gridSpan w:val="2"/>
            <w:vAlign w:val="center"/>
          </w:tcPr>
          <w:p w14:paraId="5F09B030">
            <w:pPr>
              <w:jc w:val="center"/>
              <w:rPr>
                <w:rFonts w:ascii="宋体" w:hAnsi="宋体" w:cs="宋体"/>
                <w:sz w:val="18"/>
                <w:szCs w:val="18"/>
              </w:rPr>
            </w:pPr>
            <w:r>
              <w:rPr>
                <w:rFonts w:hint="eastAsia" w:ascii="宋体" w:hAnsi="宋体" w:cs="宋体"/>
                <w:sz w:val="18"/>
                <w:szCs w:val="18"/>
              </w:rPr>
              <w:t>普通级</w:t>
            </w:r>
          </w:p>
        </w:tc>
        <w:tc>
          <w:tcPr>
            <w:tcW w:w="1480" w:type="dxa"/>
            <w:gridSpan w:val="2"/>
            <w:vAlign w:val="center"/>
          </w:tcPr>
          <w:p w14:paraId="656024C6">
            <w:pPr>
              <w:jc w:val="center"/>
              <w:rPr>
                <w:rFonts w:ascii="宋体" w:hAnsi="宋体" w:cs="宋体"/>
                <w:sz w:val="18"/>
                <w:szCs w:val="18"/>
              </w:rPr>
            </w:pPr>
            <w:r>
              <w:rPr>
                <w:rFonts w:hint="eastAsia" w:ascii="宋体" w:hAnsi="宋体" w:cs="宋体"/>
                <w:sz w:val="18"/>
                <w:szCs w:val="18"/>
              </w:rPr>
              <w:t>普通级</w:t>
            </w:r>
          </w:p>
        </w:tc>
      </w:tr>
      <w:tr w14:paraId="62178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236" w:type="dxa"/>
            <w:vMerge w:val="continue"/>
            <w:vAlign w:val="center"/>
          </w:tcPr>
          <w:p w14:paraId="1C3DD6F6">
            <w:pPr>
              <w:jc w:val="center"/>
            </w:pPr>
          </w:p>
        </w:tc>
        <w:tc>
          <w:tcPr>
            <w:tcW w:w="760" w:type="dxa"/>
            <w:vAlign w:val="center"/>
          </w:tcPr>
          <w:p w14:paraId="7FD9E4F4">
            <w:pPr>
              <w:jc w:val="center"/>
              <w:rPr>
                <w:rFonts w:hint="eastAsia" w:ascii="宋体" w:hAnsi="宋体" w:cs="宋体" w:eastAsiaTheme="minorEastAsia"/>
                <w:sz w:val="18"/>
                <w:szCs w:val="18"/>
                <w:lang w:val="en-US" w:eastAsia="zh-CN"/>
              </w:rPr>
            </w:pPr>
            <w:r>
              <w:rPr>
                <w:rFonts w:hint="eastAsia" w:ascii="宋体" w:hAnsi="宋体" w:cs="宋体"/>
                <w:sz w:val="18"/>
                <w:szCs w:val="18"/>
                <w:lang w:val="en-US" w:eastAsia="zh-CN"/>
              </w:rPr>
              <w:t>团标</w:t>
            </w:r>
          </w:p>
        </w:tc>
        <w:tc>
          <w:tcPr>
            <w:tcW w:w="720" w:type="dxa"/>
            <w:vAlign w:val="center"/>
          </w:tcPr>
          <w:p w14:paraId="469AED42">
            <w:pPr>
              <w:jc w:val="center"/>
              <w:rPr>
                <w:rFonts w:hint="eastAsia" w:ascii="宋体" w:hAnsi="宋体" w:cs="宋体" w:eastAsiaTheme="minorEastAsia"/>
                <w:sz w:val="18"/>
                <w:szCs w:val="18"/>
                <w:lang w:val="en-US" w:eastAsia="zh-CN"/>
              </w:rPr>
            </w:pPr>
            <w:r>
              <w:rPr>
                <w:rFonts w:hint="eastAsia" w:ascii="宋体" w:hAnsi="宋体" w:cs="宋体"/>
                <w:sz w:val="18"/>
                <w:szCs w:val="18"/>
                <w:lang w:val="en-US" w:eastAsia="zh-CN"/>
              </w:rPr>
              <w:t>国标</w:t>
            </w:r>
          </w:p>
        </w:tc>
        <w:tc>
          <w:tcPr>
            <w:tcW w:w="760" w:type="dxa"/>
            <w:vAlign w:val="center"/>
          </w:tcPr>
          <w:p w14:paraId="5EAB96D7">
            <w:pPr>
              <w:jc w:val="center"/>
              <w:rPr>
                <w:rFonts w:hint="eastAsia" w:ascii="宋体" w:hAnsi="宋体" w:cs="宋体"/>
                <w:sz w:val="18"/>
                <w:szCs w:val="18"/>
              </w:rPr>
            </w:pPr>
            <w:r>
              <w:rPr>
                <w:rFonts w:hint="eastAsia" w:ascii="宋体" w:hAnsi="宋体" w:cs="宋体"/>
                <w:sz w:val="18"/>
                <w:szCs w:val="18"/>
                <w:lang w:val="en-US" w:eastAsia="zh-CN"/>
              </w:rPr>
              <w:t>团标</w:t>
            </w:r>
          </w:p>
        </w:tc>
        <w:tc>
          <w:tcPr>
            <w:tcW w:w="760" w:type="dxa"/>
            <w:vAlign w:val="center"/>
          </w:tcPr>
          <w:p w14:paraId="0A173BC5">
            <w:pPr>
              <w:jc w:val="center"/>
              <w:rPr>
                <w:rFonts w:hint="eastAsia" w:ascii="宋体" w:hAnsi="宋体" w:cs="宋体"/>
                <w:sz w:val="18"/>
                <w:szCs w:val="18"/>
              </w:rPr>
            </w:pPr>
            <w:r>
              <w:rPr>
                <w:rFonts w:hint="eastAsia" w:ascii="宋体" w:hAnsi="宋体" w:cs="宋体"/>
                <w:sz w:val="18"/>
                <w:szCs w:val="18"/>
                <w:lang w:val="en-US" w:eastAsia="zh-CN"/>
              </w:rPr>
              <w:t>国标</w:t>
            </w:r>
          </w:p>
        </w:tc>
        <w:tc>
          <w:tcPr>
            <w:tcW w:w="690" w:type="dxa"/>
            <w:vAlign w:val="center"/>
          </w:tcPr>
          <w:p w14:paraId="538D3C42">
            <w:pPr>
              <w:jc w:val="center"/>
              <w:rPr>
                <w:rFonts w:hint="eastAsia" w:ascii="宋体" w:hAnsi="宋体" w:cs="宋体"/>
                <w:sz w:val="18"/>
                <w:szCs w:val="18"/>
              </w:rPr>
            </w:pPr>
            <w:r>
              <w:rPr>
                <w:rFonts w:hint="eastAsia" w:ascii="宋体" w:hAnsi="宋体" w:cs="宋体"/>
                <w:sz w:val="18"/>
                <w:szCs w:val="18"/>
                <w:lang w:val="en-US" w:eastAsia="zh-CN"/>
              </w:rPr>
              <w:t>团标</w:t>
            </w:r>
          </w:p>
        </w:tc>
        <w:tc>
          <w:tcPr>
            <w:tcW w:w="730" w:type="dxa"/>
            <w:vAlign w:val="center"/>
          </w:tcPr>
          <w:p w14:paraId="62F11BBA">
            <w:pPr>
              <w:jc w:val="center"/>
              <w:rPr>
                <w:rFonts w:hint="eastAsia" w:ascii="宋体" w:hAnsi="宋体" w:cs="宋体"/>
                <w:sz w:val="18"/>
                <w:szCs w:val="18"/>
              </w:rPr>
            </w:pPr>
            <w:r>
              <w:rPr>
                <w:rFonts w:hint="eastAsia" w:ascii="宋体" w:hAnsi="宋体" w:cs="宋体"/>
                <w:sz w:val="18"/>
                <w:szCs w:val="18"/>
                <w:lang w:val="en-US" w:eastAsia="zh-CN"/>
              </w:rPr>
              <w:t>国标</w:t>
            </w:r>
          </w:p>
        </w:tc>
        <w:tc>
          <w:tcPr>
            <w:tcW w:w="750" w:type="dxa"/>
            <w:vAlign w:val="center"/>
          </w:tcPr>
          <w:p w14:paraId="0E3AB475">
            <w:pPr>
              <w:jc w:val="center"/>
              <w:rPr>
                <w:rFonts w:hint="eastAsia" w:ascii="宋体" w:hAnsi="宋体" w:cs="宋体"/>
                <w:sz w:val="18"/>
                <w:szCs w:val="18"/>
              </w:rPr>
            </w:pPr>
            <w:r>
              <w:rPr>
                <w:rFonts w:hint="eastAsia" w:ascii="宋体" w:hAnsi="宋体" w:cs="宋体"/>
                <w:sz w:val="18"/>
                <w:szCs w:val="18"/>
                <w:lang w:val="en-US" w:eastAsia="zh-CN"/>
              </w:rPr>
              <w:t>团标</w:t>
            </w:r>
          </w:p>
        </w:tc>
        <w:tc>
          <w:tcPr>
            <w:tcW w:w="690" w:type="dxa"/>
            <w:vAlign w:val="center"/>
          </w:tcPr>
          <w:p w14:paraId="4DFF0E81">
            <w:pPr>
              <w:jc w:val="center"/>
              <w:rPr>
                <w:rFonts w:hint="eastAsia" w:ascii="宋体" w:hAnsi="宋体" w:cs="宋体"/>
                <w:sz w:val="18"/>
                <w:szCs w:val="18"/>
              </w:rPr>
            </w:pPr>
            <w:r>
              <w:rPr>
                <w:rFonts w:hint="eastAsia" w:ascii="宋体" w:hAnsi="宋体" w:cs="宋体"/>
                <w:sz w:val="18"/>
                <w:szCs w:val="18"/>
                <w:lang w:val="en-US" w:eastAsia="zh-CN"/>
              </w:rPr>
              <w:t>国标</w:t>
            </w:r>
          </w:p>
        </w:tc>
        <w:tc>
          <w:tcPr>
            <w:tcW w:w="720" w:type="dxa"/>
            <w:vAlign w:val="center"/>
          </w:tcPr>
          <w:p w14:paraId="02E91472">
            <w:pPr>
              <w:jc w:val="center"/>
              <w:rPr>
                <w:rFonts w:hint="eastAsia" w:ascii="宋体" w:hAnsi="宋体" w:cs="宋体"/>
                <w:sz w:val="18"/>
                <w:szCs w:val="18"/>
              </w:rPr>
            </w:pPr>
            <w:r>
              <w:rPr>
                <w:rFonts w:hint="eastAsia" w:ascii="宋体" w:hAnsi="宋体" w:cs="宋体"/>
                <w:sz w:val="18"/>
                <w:szCs w:val="18"/>
                <w:lang w:val="en-US" w:eastAsia="zh-CN"/>
              </w:rPr>
              <w:t>团标</w:t>
            </w:r>
          </w:p>
        </w:tc>
        <w:tc>
          <w:tcPr>
            <w:tcW w:w="760" w:type="dxa"/>
            <w:vAlign w:val="center"/>
          </w:tcPr>
          <w:p w14:paraId="119BAA56">
            <w:pPr>
              <w:jc w:val="center"/>
              <w:rPr>
                <w:rFonts w:hint="eastAsia" w:ascii="宋体" w:hAnsi="宋体" w:cs="宋体"/>
                <w:sz w:val="18"/>
                <w:szCs w:val="18"/>
              </w:rPr>
            </w:pPr>
            <w:r>
              <w:rPr>
                <w:rFonts w:hint="eastAsia" w:ascii="宋体" w:hAnsi="宋体" w:cs="宋体"/>
                <w:sz w:val="18"/>
                <w:szCs w:val="18"/>
                <w:lang w:val="en-US" w:eastAsia="zh-CN"/>
              </w:rPr>
              <w:t>国标</w:t>
            </w:r>
          </w:p>
        </w:tc>
      </w:tr>
      <w:tr w14:paraId="6FBAE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236" w:type="dxa"/>
            <w:vAlign w:val="center"/>
          </w:tcPr>
          <w:p w14:paraId="6E3722A6">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0.15</w:t>
            </w:r>
            <w:r>
              <w:rPr>
                <w:rFonts w:hint="eastAsia" w:ascii="微软雅黑" w:hAnsi="微软雅黑" w:eastAsia="微软雅黑" w:cs="微软雅黑"/>
                <w:sz w:val="18"/>
                <w:szCs w:val="18"/>
              </w:rPr>
              <w:t>~</w:t>
            </w:r>
            <w:r>
              <w:rPr>
                <w:rFonts w:hint="eastAsia" w:ascii="宋体" w:hAnsi="宋体" w:cs="宋体"/>
                <w:sz w:val="18"/>
                <w:szCs w:val="18"/>
              </w:rPr>
              <w:t>0.25</w:t>
            </w:r>
          </w:p>
        </w:tc>
        <w:tc>
          <w:tcPr>
            <w:tcW w:w="760" w:type="dxa"/>
            <w:vAlign w:val="center"/>
          </w:tcPr>
          <w:p w14:paraId="15304EED">
            <w:pPr>
              <w:jc w:val="center"/>
              <w:rPr>
                <w:rFonts w:ascii="宋体" w:hAnsi="宋体" w:cs="宋体"/>
                <w:sz w:val="18"/>
                <w:szCs w:val="18"/>
              </w:rPr>
            </w:pPr>
            <w:r>
              <w:rPr>
                <w:rFonts w:hint="eastAsia" w:ascii="宋体" w:hAnsi="宋体" w:cs="宋体"/>
                <w:sz w:val="18"/>
                <w:szCs w:val="18"/>
              </w:rPr>
              <w:t>0.0125</w:t>
            </w:r>
          </w:p>
        </w:tc>
        <w:tc>
          <w:tcPr>
            <w:tcW w:w="720" w:type="dxa"/>
            <w:vAlign w:val="center"/>
          </w:tcPr>
          <w:p w14:paraId="1A543147">
            <w:pPr>
              <w:jc w:val="center"/>
              <w:rPr>
                <w:rFonts w:hint="eastAsia" w:ascii="宋体" w:hAnsi="宋体" w:cs="宋体"/>
                <w:sz w:val="18"/>
                <w:szCs w:val="18"/>
              </w:rPr>
            </w:pPr>
            <w:r>
              <w:rPr>
                <w:rFonts w:hint="eastAsia" w:ascii="宋体" w:hAnsi="宋体" w:cs="宋体"/>
                <w:sz w:val="18"/>
                <w:szCs w:val="18"/>
              </w:rPr>
              <w:t>0.015</w:t>
            </w:r>
          </w:p>
        </w:tc>
        <w:tc>
          <w:tcPr>
            <w:tcW w:w="760" w:type="dxa"/>
            <w:vAlign w:val="center"/>
          </w:tcPr>
          <w:p w14:paraId="14639B9F">
            <w:pPr>
              <w:jc w:val="center"/>
              <w:rPr>
                <w:rFonts w:ascii="宋体" w:hAnsi="宋体" w:cs="宋体"/>
                <w:sz w:val="18"/>
                <w:szCs w:val="18"/>
              </w:rPr>
            </w:pPr>
            <w:r>
              <w:rPr>
                <w:rFonts w:ascii="宋体" w:hAnsi="宋体" w:cs="宋体"/>
                <w:sz w:val="18"/>
                <w:szCs w:val="18"/>
              </w:rPr>
              <w:t>0.0150</w:t>
            </w:r>
          </w:p>
        </w:tc>
        <w:tc>
          <w:tcPr>
            <w:tcW w:w="760" w:type="dxa"/>
            <w:vAlign w:val="center"/>
          </w:tcPr>
          <w:p w14:paraId="39B607A6">
            <w:pPr>
              <w:jc w:val="center"/>
              <w:rPr>
                <w:rFonts w:ascii="宋体" w:hAnsi="宋体" w:cs="宋体"/>
                <w:sz w:val="18"/>
                <w:szCs w:val="18"/>
              </w:rPr>
            </w:pPr>
            <w:r>
              <w:rPr>
                <w:rFonts w:hint="eastAsia" w:ascii="宋体" w:hAnsi="宋体" w:cs="宋体"/>
                <w:sz w:val="18"/>
                <w:szCs w:val="18"/>
              </w:rPr>
              <w:t>0.020</w:t>
            </w:r>
          </w:p>
        </w:tc>
        <w:tc>
          <w:tcPr>
            <w:tcW w:w="690" w:type="dxa"/>
            <w:vAlign w:val="center"/>
          </w:tcPr>
          <w:p w14:paraId="708C774E">
            <w:pPr>
              <w:jc w:val="center"/>
              <w:rPr>
                <w:rFonts w:ascii="宋体" w:hAnsi="宋体" w:cs="宋体"/>
                <w:sz w:val="18"/>
                <w:szCs w:val="18"/>
              </w:rPr>
            </w:pPr>
            <w:r>
              <w:rPr>
                <w:rFonts w:hint="eastAsia" w:ascii="宋体" w:hAnsi="宋体" w:cs="宋体"/>
                <w:sz w:val="18"/>
                <w:szCs w:val="18"/>
              </w:rPr>
              <w:t>0.015</w:t>
            </w:r>
          </w:p>
        </w:tc>
        <w:tc>
          <w:tcPr>
            <w:tcW w:w="730" w:type="dxa"/>
            <w:vAlign w:val="center"/>
          </w:tcPr>
          <w:p w14:paraId="0A735012">
            <w:pPr>
              <w:jc w:val="center"/>
              <w:rPr>
                <w:rFonts w:hint="eastAsia" w:ascii="宋体" w:hAnsi="宋体" w:cs="宋体"/>
                <w:sz w:val="18"/>
                <w:szCs w:val="18"/>
              </w:rPr>
            </w:pPr>
            <w:r>
              <w:rPr>
                <w:rFonts w:hint="eastAsia" w:ascii="宋体" w:hAnsi="宋体" w:cs="宋体"/>
                <w:sz w:val="18"/>
                <w:szCs w:val="18"/>
              </w:rPr>
              <w:t>0.020</w:t>
            </w:r>
          </w:p>
        </w:tc>
        <w:tc>
          <w:tcPr>
            <w:tcW w:w="750" w:type="dxa"/>
            <w:vAlign w:val="center"/>
          </w:tcPr>
          <w:p w14:paraId="7E75159F">
            <w:pPr>
              <w:jc w:val="center"/>
              <w:rPr>
                <w:rFonts w:ascii="宋体" w:hAnsi="宋体" w:cs="宋体"/>
                <w:sz w:val="18"/>
                <w:szCs w:val="18"/>
              </w:rPr>
            </w:pPr>
            <w:r>
              <w:rPr>
                <w:rFonts w:hint="eastAsia" w:ascii="宋体" w:hAnsi="宋体" w:cs="宋体"/>
                <w:sz w:val="18"/>
                <w:szCs w:val="18"/>
              </w:rPr>
              <w:t>0.020</w:t>
            </w:r>
          </w:p>
        </w:tc>
        <w:tc>
          <w:tcPr>
            <w:tcW w:w="690" w:type="dxa"/>
            <w:vAlign w:val="center"/>
          </w:tcPr>
          <w:p w14:paraId="26634478">
            <w:pPr>
              <w:jc w:val="center"/>
              <w:rPr>
                <w:rFonts w:hint="eastAsia" w:ascii="宋体" w:hAnsi="宋体" w:cs="宋体"/>
                <w:sz w:val="18"/>
                <w:szCs w:val="18"/>
              </w:rPr>
            </w:pPr>
            <w:r>
              <w:rPr>
                <w:rFonts w:hint="eastAsia" w:ascii="宋体" w:hAnsi="宋体" w:cs="宋体"/>
                <w:sz w:val="18"/>
                <w:szCs w:val="18"/>
              </w:rPr>
              <w:t>0.0</w:t>
            </w:r>
            <w:r>
              <w:rPr>
                <w:rFonts w:hint="eastAsia" w:ascii="宋体" w:hAnsi="宋体" w:cs="宋体"/>
                <w:sz w:val="18"/>
                <w:szCs w:val="18"/>
                <w:lang w:val="en-US" w:eastAsia="zh-CN"/>
              </w:rPr>
              <w:t>3</w:t>
            </w:r>
            <w:r>
              <w:rPr>
                <w:rFonts w:hint="eastAsia" w:ascii="宋体" w:hAnsi="宋体" w:cs="宋体"/>
                <w:sz w:val="18"/>
                <w:szCs w:val="18"/>
              </w:rPr>
              <w:t>0</w:t>
            </w:r>
          </w:p>
        </w:tc>
        <w:tc>
          <w:tcPr>
            <w:tcW w:w="720" w:type="dxa"/>
            <w:vAlign w:val="center"/>
          </w:tcPr>
          <w:p w14:paraId="17415B40">
            <w:pPr>
              <w:jc w:val="center"/>
              <w:rPr>
                <w:rFonts w:ascii="宋体" w:hAnsi="宋体" w:cs="宋体"/>
                <w:sz w:val="18"/>
                <w:szCs w:val="18"/>
              </w:rPr>
            </w:pPr>
            <w:r>
              <w:rPr>
                <w:rFonts w:hint="eastAsia" w:ascii="宋体" w:hAnsi="宋体" w:cs="宋体"/>
                <w:sz w:val="18"/>
                <w:szCs w:val="18"/>
              </w:rPr>
              <w:t>-</w:t>
            </w:r>
          </w:p>
        </w:tc>
        <w:tc>
          <w:tcPr>
            <w:tcW w:w="760" w:type="dxa"/>
            <w:vAlign w:val="center"/>
          </w:tcPr>
          <w:p w14:paraId="2287E363">
            <w:pPr>
              <w:jc w:val="center"/>
              <w:rPr>
                <w:rFonts w:hint="eastAsia" w:ascii="宋体" w:hAnsi="宋体" w:cs="宋体"/>
                <w:sz w:val="18"/>
                <w:szCs w:val="18"/>
              </w:rPr>
            </w:pPr>
          </w:p>
        </w:tc>
      </w:tr>
      <w:tr w14:paraId="7DB0B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236" w:type="dxa"/>
            <w:vAlign w:val="center"/>
          </w:tcPr>
          <w:p w14:paraId="766EA5E3">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0.25</w:t>
            </w:r>
            <w:r>
              <w:rPr>
                <w:rFonts w:hint="eastAsia" w:ascii="微软雅黑" w:hAnsi="微软雅黑" w:eastAsia="微软雅黑" w:cs="微软雅黑"/>
                <w:sz w:val="18"/>
                <w:szCs w:val="18"/>
              </w:rPr>
              <w:t>~</w:t>
            </w:r>
            <w:r>
              <w:rPr>
                <w:rFonts w:hint="eastAsia" w:ascii="宋体" w:hAnsi="宋体" w:cs="宋体"/>
                <w:sz w:val="18"/>
                <w:szCs w:val="18"/>
              </w:rPr>
              <w:t>0.35</w:t>
            </w:r>
          </w:p>
        </w:tc>
        <w:tc>
          <w:tcPr>
            <w:tcW w:w="760" w:type="dxa"/>
            <w:vAlign w:val="center"/>
          </w:tcPr>
          <w:p w14:paraId="589D31ED">
            <w:pPr>
              <w:jc w:val="center"/>
              <w:rPr>
                <w:rFonts w:ascii="宋体" w:hAnsi="宋体" w:cs="宋体"/>
                <w:sz w:val="18"/>
                <w:szCs w:val="18"/>
              </w:rPr>
            </w:pPr>
            <w:r>
              <w:rPr>
                <w:rFonts w:hint="eastAsia" w:ascii="宋体" w:hAnsi="宋体" w:cs="宋体"/>
                <w:sz w:val="18"/>
                <w:szCs w:val="18"/>
              </w:rPr>
              <w:t>0.015</w:t>
            </w:r>
          </w:p>
        </w:tc>
        <w:tc>
          <w:tcPr>
            <w:tcW w:w="720" w:type="dxa"/>
            <w:vAlign w:val="center"/>
          </w:tcPr>
          <w:p w14:paraId="191B6C61">
            <w:pPr>
              <w:jc w:val="center"/>
              <w:rPr>
                <w:rFonts w:hint="eastAsia" w:ascii="宋体" w:hAnsi="宋体" w:cs="宋体"/>
                <w:sz w:val="18"/>
                <w:szCs w:val="18"/>
              </w:rPr>
            </w:pPr>
            <w:r>
              <w:rPr>
                <w:rFonts w:hint="eastAsia" w:ascii="宋体" w:hAnsi="宋体" w:cs="宋体"/>
                <w:sz w:val="18"/>
                <w:szCs w:val="18"/>
              </w:rPr>
              <w:t>0.020</w:t>
            </w:r>
          </w:p>
        </w:tc>
        <w:tc>
          <w:tcPr>
            <w:tcW w:w="760" w:type="dxa"/>
            <w:vAlign w:val="center"/>
          </w:tcPr>
          <w:p w14:paraId="542DDF32">
            <w:pPr>
              <w:jc w:val="center"/>
              <w:rPr>
                <w:rFonts w:ascii="宋体" w:hAnsi="宋体" w:cs="宋体"/>
                <w:sz w:val="18"/>
                <w:szCs w:val="18"/>
              </w:rPr>
            </w:pPr>
            <w:r>
              <w:rPr>
                <w:rFonts w:hint="eastAsia" w:ascii="宋体" w:hAnsi="宋体" w:cs="宋体"/>
                <w:sz w:val="18"/>
                <w:szCs w:val="18"/>
              </w:rPr>
              <w:t>0.0150</w:t>
            </w:r>
          </w:p>
        </w:tc>
        <w:tc>
          <w:tcPr>
            <w:tcW w:w="760" w:type="dxa"/>
            <w:vAlign w:val="center"/>
          </w:tcPr>
          <w:p w14:paraId="6DDD9823">
            <w:pPr>
              <w:jc w:val="center"/>
              <w:rPr>
                <w:rFonts w:hint="default" w:ascii="宋体" w:hAnsi="宋体" w:cs="宋体" w:eastAsiaTheme="minorEastAsia"/>
                <w:sz w:val="18"/>
                <w:szCs w:val="18"/>
                <w:lang w:val="en-US" w:eastAsia="zh-CN"/>
              </w:rPr>
            </w:pPr>
            <w:r>
              <w:rPr>
                <w:rFonts w:hint="eastAsia" w:ascii="宋体" w:hAnsi="宋体" w:cs="宋体"/>
                <w:sz w:val="18"/>
                <w:szCs w:val="18"/>
              </w:rPr>
              <w:t>0.0</w:t>
            </w:r>
            <w:r>
              <w:rPr>
                <w:rFonts w:hint="eastAsia" w:ascii="宋体" w:hAnsi="宋体" w:cs="宋体"/>
                <w:sz w:val="18"/>
                <w:szCs w:val="18"/>
                <w:lang w:val="en-US" w:eastAsia="zh-CN"/>
              </w:rPr>
              <w:t>25</w:t>
            </w:r>
          </w:p>
        </w:tc>
        <w:tc>
          <w:tcPr>
            <w:tcW w:w="690" w:type="dxa"/>
            <w:vAlign w:val="center"/>
          </w:tcPr>
          <w:p w14:paraId="3C59977B">
            <w:pPr>
              <w:jc w:val="center"/>
              <w:rPr>
                <w:rFonts w:ascii="宋体" w:hAnsi="宋体" w:cs="宋体"/>
                <w:sz w:val="18"/>
                <w:szCs w:val="18"/>
              </w:rPr>
            </w:pPr>
            <w:r>
              <w:rPr>
                <w:rFonts w:hint="eastAsia" w:ascii="宋体" w:hAnsi="宋体" w:cs="宋体"/>
                <w:sz w:val="18"/>
                <w:szCs w:val="18"/>
              </w:rPr>
              <w:t>0.015</w:t>
            </w:r>
          </w:p>
        </w:tc>
        <w:tc>
          <w:tcPr>
            <w:tcW w:w="730" w:type="dxa"/>
            <w:vAlign w:val="center"/>
          </w:tcPr>
          <w:p w14:paraId="7414D018">
            <w:pPr>
              <w:jc w:val="center"/>
              <w:rPr>
                <w:rFonts w:hint="default" w:ascii="宋体" w:hAnsi="宋体" w:cs="宋体" w:eastAsiaTheme="minorEastAsia"/>
                <w:sz w:val="18"/>
                <w:szCs w:val="18"/>
                <w:lang w:val="en-US" w:eastAsia="zh-CN"/>
              </w:rPr>
            </w:pPr>
            <w:r>
              <w:rPr>
                <w:rFonts w:hint="eastAsia" w:ascii="宋体" w:hAnsi="宋体" w:cs="宋体"/>
                <w:sz w:val="18"/>
                <w:szCs w:val="18"/>
              </w:rPr>
              <w:t>0.0</w:t>
            </w:r>
            <w:r>
              <w:rPr>
                <w:rFonts w:hint="eastAsia" w:ascii="宋体" w:hAnsi="宋体" w:cs="宋体"/>
                <w:sz w:val="18"/>
                <w:szCs w:val="18"/>
                <w:lang w:val="en-US" w:eastAsia="zh-CN"/>
              </w:rPr>
              <w:t>30</w:t>
            </w:r>
          </w:p>
        </w:tc>
        <w:tc>
          <w:tcPr>
            <w:tcW w:w="750" w:type="dxa"/>
            <w:vAlign w:val="center"/>
          </w:tcPr>
          <w:p w14:paraId="7EFFBC28">
            <w:pPr>
              <w:jc w:val="center"/>
              <w:rPr>
                <w:rFonts w:ascii="宋体" w:hAnsi="宋体" w:cs="宋体"/>
                <w:sz w:val="18"/>
                <w:szCs w:val="18"/>
              </w:rPr>
            </w:pPr>
            <w:r>
              <w:rPr>
                <w:rFonts w:hint="eastAsia" w:ascii="宋体" w:hAnsi="宋体" w:cs="宋体"/>
                <w:sz w:val="18"/>
                <w:szCs w:val="18"/>
              </w:rPr>
              <w:t>0.020</w:t>
            </w:r>
          </w:p>
        </w:tc>
        <w:tc>
          <w:tcPr>
            <w:tcW w:w="690" w:type="dxa"/>
            <w:vAlign w:val="center"/>
          </w:tcPr>
          <w:p w14:paraId="6D507211">
            <w:pPr>
              <w:jc w:val="center"/>
              <w:rPr>
                <w:rFonts w:hint="default" w:ascii="宋体" w:hAnsi="宋体" w:cs="宋体" w:eastAsiaTheme="minorEastAsia"/>
                <w:sz w:val="18"/>
                <w:szCs w:val="18"/>
                <w:lang w:val="en-US" w:eastAsia="zh-CN"/>
              </w:rPr>
            </w:pPr>
            <w:r>
              <w:rPr>
                <w:rFonts w:hint="eastAsia" w:ascii="宋体" w:hAnsi="宋体" w:cs="宋体"/>
                <w:sz w:val="18"/>
                <w:szCs w:val="18"/>
              </w:rPr>
              <w:t>0.0</w:t>
            </w:r>
            <w:r>
              <w:rPr>
                <w:rFonts w:hint="eastAsia" w:ascii="宋体" w:hAnsi="宋体" w:cs="宋体"/>
                <w:sz w:val="18"/>
                <w:szCs w:val="18"/>
                <w:lang w:val="en-US" w:eastAsia="zh-CN"/>
              </w:rPr>
              <w:t>40</w:t>
            </w:r>
          </w:p>
        </w:tc>
        <w:tc>
          <w:tcPr>
            <w:tcW w:w="720" w:type="dxa"/>
            <w:vAlign w:val="center"/>
          </w:tcPr>
          <w:p w14:paraId="2DAF46C5">
            <w:pPr>
              <w:jc w:val="center"/>
              <w:rPr>
                <w:rFonts w:ascii="宋体" w:hAnsi="宋体" w:cs="宋体"/>
                <w:sz w:val="18"/>
                <w:szCs w:val="18"/>
              </w:rPr>
            </w:pPr>
            <w:r>
              <w:rPr>
                <w:rFonts w:hint="eastAsia" w:ascii="宋体" w:hAnsi="宋体" w:cs="宋体"/>
                <w:sz w:val="18"/>
                <w:szCs w:val="18"/>
              </w:rPr>
              <w:t>-</w:t>
            </w:r>
          </w:p>
        </w:tc>
        <w:tc>
          <w:tcPr>
            <w:tcW w:w="760" w:type="dxa"/>
            <w:vAlign w:val="center"/>
          </w:tcPr>
          <w:p w14:paraId="4A55C752">
            <w:pPr>
              <w:jc w:val="center"/>
              <w:rPr>
                <w:rFonts w:hint="eastAsia" w:ascii="宋体" w:hAnsi="宋体" w:cs="宋体"/>
                <w:sz w:val="18"/>
                <w:szCs w:val="18"/>
              </w:rPr>
            </w:pPr>
          </w:p>
        </w:tc>
      </w:tr>
      <w:tr w14:paraId="10331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236" w:type="dxa"/>
            <w:vAlign w:val="center"/>
          </w:tcPr>
          <w:p w14:paraId="27428958">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0.35</w:t>
            </w:r>
            <w:r>
              <w:rPr>
                <w:rFonts w:hint="eastAsia" w:ascii="微软雅黑" w:hAnsi="微软雅黑" w:eastAsia="微软雅黑" w:cs="微软雅黑"/>
                <w:sz w:val="18"/>
                <w:szCs w:val="18"/>
              </w:rPr>
              <w:t>~</w:t>
            </w:r>
            <w:r>
              <w:rPr>
                <w:rFonts w:hint="eastAsia" w:ascii="宋体" w:hAnsi="宋体" w:cs="宋体"/>
                <w:sz w:val="18"/>
                <w:szCs w:val="18"/>
              </w:rPr>
              <w:t>0.50</w:t>
            </w:r>
          </w:p>
        </w:tc>
        <w:tc>
          <w:tcPr>
            <w:tcW w:w="760" w:type="dxa"/>
            <w:vAlign w:val="center"/>
          </w:tcPr>
          <w:p w14:paraId="778A5A70">
            <w:pPr>
              <w:jc w:val="center"/>
              <w:rPr>
                <w:rFonts w:ascii="宋体" w:hAnsi="宋体" w:cs="宋体"/>
                <w:sz w:val="18"/>
                <w:szCs w:val="18"/>
              </w:rPr>
            </w:pPr>
            <w:r>
              <w:rPr>
                <w:rFonts w:hint="eastAsia" w:ascii="宋体" w:hAnsi="宋体" w:cs="宋体"/>
                <w:sz w:val="18"/>
                <w:szCs w:val="18"/>
              </w:rPr>
              <w:t>0.020</w:t>
            </w:r>
          </w:p>
        </w:tc>
        <w:tc>
          <w:tcPr>
            <w:tcW w:w="720" w:type="dxa"/>
            <w:vAlign w:val="center"/>
          </w:tcPr>
          <w:p w14:paraId="68186815">
            <w:pPr>
              <w:jc w:val="center"/>
              <w:rPr>
                <w:rFonts w:hint="eastAsia" w:ascii="宋体" w:hAnsi="宋体" w:cs="宋体"/>
                <w:sz w:val="18"/>
                <w:szCs w:val="18"/>
              </w:rPr>
            </w:pPr>
            <w:r>
              <w:rPr>
                <w:rFonts w:hint="eastAsia" w:ascii="宋体" w:hAnsi="宋体" w:cs="宋体"/>
                <w:sz w:val="18"/>
                <w:szCs w:val="18"/>
              </w:rPr>
              <w:t>0.025</w:t>
            </w:r>
          </w:p>
        </w:tc>
        <w:tc>
          <w:tcPr>
            <w:tcW w:w="760" w:type="dxa"/>
            <w:vAlign w:val="center"/>
          </w:tcPr>
          <w:p w14:paraId="1D6D770C">
            <w:pPr>
              <w:jc w:val="center"/>
              <w:rPr>
                <w:rFonts w:ascii="宋体" w:hAnsi="宋体" w:cs="宋体"/>
                <w:sz w:val="18"/>
                <w:szCs w:val="18"/>
              </w:rPr>
            </w:pPr>
            <w:r>
              <w:rPr>
                <w:rFonts w:hint="eastAsia" w:ascii="宋体" w:hAnsi="宋体" w:cs="宋体"/>
                <w:sz w:val="18"/>
                <w:szCs w:val="18"/>
              </w:rPr>
              <w:t>0.020</w:t>
            </w:r>
          </w:p>
        </w:tc>
        <w:tc>
          <w:tcPr>
            <w:tcW w:w="760" w:type="dxa"/>
            <w:vAlign w:val="center"/>
          </w:tcPr>
          <w:p w14:paraId="6EE7FCE1">
            <w:pPr>
              <w:jc w:val="center"/>
              <w:rPr>
                <w:rFonts w:hint="eastAsia" w:ascii="宋体" w:hAnsi="宋体" w:cs="宋体" w:eastAsiaTheme="minorEastAsia"/>
                <w:sz w:val="18"/>
                <w:szCs w:val="18"/>
                <w:lang w:eastAsia="zh-CN"/>
              </w:rPr>
            </w:pPr>
            <w:r>
              <w:rPr>
                <w:rFonts w:hint="eastAsia" w:ascii="宋体" w:hAnsi="宋体" w:cs="宋体"/>
                <w:sz w:val="18"/>
                <w:szCs w:val="18"/>
              </w:rPr>
              <w:t>0.03</w:t>
            </w:r>
            <w:r>
              <w:rPr>
                <w:rFonts w:hint="eastAsia" w:ascii="宋体" w:hAnsi="宋体" w:cs="宋体"/>
                <w:sz w:val="18"/>
                <w:szCs w:val="18"/>
                <w:lang w:val="en-US" w:eastAsia="zh-CN"/>
              </w:rPr>
              <w:t>0</w:t>
            </w:r>
          </w:p>
        </w:tc>
        <w:tc>
          <w:tcPr>
            <w:tcW w:w="690" w:type="dxa"/>
            <w:vAlign w:val="center"/>
          </w:tcPr>
          <w:p w14:paraId="3D0EBA04">
            <w:pPr>
              <w:jc w:val="center"/>
              <w:rPr>
                <w:rFonts w:ascii="宋体" w:hAnsi="宋体" w:cs="宋体"/>
                <w:sz w:val="18"/>
                <w:szCs w:val="18"/>
              </w:rPr>
            </w:pPr>
            <w:r>
              <w:rPr>
                <w:rFonts w:hint="eastAsia" w:ascii="宋体" w:hAnsi="宋体" w:cs="宋体"/>
                <w:sz w:val="18"/>
                <w:szCs w:val="18"/>
              </w:rPr>
              <w:t>0.020</w:t>
            </w:r>
          </w:p>
        </w:tc>
        <w:tc>
          <w:tcPr>
            <w:tcW w:w="730" w:type="dxa"/>
            <w:vAlign w:val="center"/>
          </w:tcPr>
          <w:p w14:paraId="1C94680E">
            <w:pPr>
              <w:jc w:val="center"/>
              <w:rPr>
                <w:rFonts w:hint="eastAsia" w:ascii="宋体" w:hAnsi="宋体" w:cs="宋体"/>
                <w:sz w:val="18"/>
                <w:szCs w:val="18"/>
              </w:rPr>
            </w:pPr>
            <w:r>
              <w:rPr>
                <w:rFonts w:hint="eastAsia" w:ascii="宋体" w:hAnsi="宋体" w:cs="宋体"/>
                <w:sz w:val="18"/>
                <w:szCs w:val="18"/>
              </w:rPr>
              <w:t>0.035</w:t>
            </w:r>
          </w:p>
        </w:tc>
        <w:tc>
          <w:tcPr>
            <w:tcW w:w="750" w:type="dxa"/>
            <w:vAlign w:val="center"/>
          </w:tcPr>
          <w:p w14:paraId="4693946E">
            <w:pPr>
              <w:jc w:val="center"/>
              <w:rPr>
                <w:rFonts w:ascii="宋体" w:hAnsi="宋体" w:cs="宋体"/>
                <w:sz w:val="18"/>
                <w:szCs w:val="18"/>
              </w:rPr>
            </w:pPr>
            <w:r>
              <w:rPr>
                <w:rFonts w:hint="eastAsia" w:ascii="宋体" w:hAnsi="宋体" w:cs="宋体"/>
                <w:sz w:val="18"/>
                <w:szCs w:val="18"/>
              </w:rPr>
              <w:t>0.025</w:t>
            </w:r>
          </w:p>
        </w:tc>
        <w:tc>
          <w:tcPr>
            <w:tcW w:w="690" w:type="dxa"/>
            <w:vAlign w:val="center"/>
          </w:tcPr>
          <w:p w14:paraId="3B9834F0">
            <w:pPr>
              <w:jc w:val="center"/>
              <w:rPr>
                <w:rFonts w:hint="default" w:ascii="宋体" w:hAnsi="宋体" w:cs="宋体" w:eastAsiaTheme="minorEastAsia"/>
                <w:sz w:val="18"/>
                <w:szCs w:val="18"/>
                <w:lang w:val="en-US" w:eastAsia="zh-CN"/>
              </w:rPr>
            </w:pPr>
            <w:r>
              <w:rPr>
                <w:rFonts w:hint="eastAsia" w:ascii="宋体" w:hAnsi="宋体" w:cs="宋体"/>
                <w:sz w:val="18"/>
                <w:szCs w:val="18"/>
              </w:rPr>
              <w:t>0.0</w:t>
            </w:r>
            <w:r>
              <w:rPr>
                <w:rFonts w:hint="eastAsia" w:ascii="宋体" w:hAnsi="宋体" w:cs="宋体"/>
                <w:sz w:val="18"/>
                <w:szCs w:val="18"/>
                <w:lang w:val="en-US" w:eastAsia="zh-CN"/>
              </w:rPr>
              <w:t>50</w:t>
            </w:r>
          </w:p>
        </w:tc>
        <w:tc>
          <w:tcPr>
            <w:tcW w:w="720" w:type="dxa"/>
            <w:vAlign w:val="center"/>
          </w:tcPr>
          <w:p w14:paraId="2FFC5F69">
            <w:pPr>
              <w:jc w:val="center"/>
              <w:rPr>
                <w:rFonts w:ascii="宋体" w:hAnsi="宋体" w:cs="宋体"/>
                <w:sz w:val="18"/>
                <w:szCs w:val="18"/>
              </w:rPr>
            </w:pPr>
            <w:r>
              <w:rPr>
                <w:rFonts w:hint="eastAsia" w:ascii="宋体" w:hAnsi="宋体" w:cs="宋体"/>
                <w:sz w:val="18"/>
                <w:szCs w:val="18"/>
              </w:rPr>
              <w:t>0.040</w:t>
            </w:r>
          </w:p>
        </w:tc>
        <w:tc>
          <w:tcPr>
            <w:tcW w:w="760" w:type="dxa"/>
            <w:vAlign w:val="center"/>
          </w:tcPr>
          <w:p w14:paraId="603C2805">
            <w:pPr>
              <w:jc w:val="center"/>
              <w:rPr>
                <w:rFonts w:hint="eastAsia" w:ascii="宋体" w:hAnsi="宋体" w:cs="宋体"/>
                <w:sz w:val="18"/>
                <w:szCs w:val="18"/>
              </w:rPr>
            </w:pPr>
            <w:r>
              <w:rPr>
                <w:rFonts w:hint="eastAsia" w:ascii="宋体" w:hAnsi="宋体" w:cs="宋体"/>
                <w:sz w:val="18"/>
                <w:szCs w:val="18"/>
              </w:rPr>
              <w:t>0.0</w:t>
            </w:r>
            <w:r>
              <w:rPr>
                <w:rFonts w:hint="eastAsia" w:ascii="宋体" w:hAnsi="宋体" w:cs="宋体"/>
                <w:sz w:val="18"/>
                <w:szCs w:val="18"/>
                <w:lang w:val="en-US" w:eastAsia="zh-CN"/>
              </w:rPr>
              <w:t>60</w:t>
            </w:r>
          </w:p>
        </w:tc>
      </w:tr>
      <w:tr w14:paraId="158B0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236" w:type="dxa"/>
            <w:vAlign w:val="center"/>
          </w:tcPr>
          <w:p w14:paraId="25723D6E">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0.50</w:t>
            </w:r>
            <w:r>
              <w:rPr>
                <w:rFonts w:hint="eastAsia" w:ascii="微软雅黑" w:hAnsi="微软雅黑" w:eastAsia="微软雅黑" w:cs="微软雅黑"/>
                <w:sz w:val="18"/>
                <w:szCs w:val="18"/>
              </w:rPr>
              <w:t>~</w:t>
            </w:r>
            <w:r>
              <w:rPr>
                <w:rFonts w:hint="eastAsia" w:ascii="宋体" w:hAnsi="宋体" w:cs="宋体"/>
                <w:sz w:val="18"/>
                <w:szCs w:val="18"/>
              </w:rPr>
              <w:t>0.80</w:t>
            </w:r>
          </w:p>
        </w:tc>
        <w:tc>
          <w:tcPr>
            <w:tcW w:w="760" w:type="dxa"/>
            <w:vAlign w:val="center"/>
          </w:tcPr>
          <w:p w14:paraId="019C0A5A">
            <w:pPr>
              <w:jc w:val="center"/>
              <w:rPr>
                <w:rFonts w:ascii="宋体" w:hAnsi="宋体" w:cs="宋体"/>
                <w:sz w:val="18"/>
                <w:szCs w:val="18"/>
              </w:rPr>
            </w:pPr>
            <w:r>
              <w:rPr>
                <w:rFonts w:hint="eastAsia" w:ascii="宋体" w:hAnsi="宋体" w:cs="宋体"/>
                <w:sz w:val="18"/>
                <w:szCs w:val="18"/>
              </w:rPr>
              <w:t>0.025</w:t>
            </w:r>
          </w:p>
        </w:tc>
        <w:tc>
          <w:tcPr>
            <w:tcW w:w="720" w:type="dxa"/>
            <w:vAlign w:val="center"/>
          </w:tcPr>
          <w:p w14:paraId="66F45C49">
            <w:pPr>
              <w:jc w:val="center"/>
              <w:rPr>
                <w:rFonts w:hint="eastAsia" w:ascii="宋体" w:hAnsi="宋体" w:cs="宋体"/>
                <w:sz w:val="18"/>
                <w:szCs w:val="18"/>
              </w:rPr>
            </w:pPr>
            <w:r>
              <w:rPr>
                <w:rFonts w:hint="eastAsia" w:ascii="宋体" w:hAnsi="宋体" w:cs="宋体"/>
                <w:sz w:val="18"/>
                <w:szCs w:val="18"/>
              </w:rPr>
              <w:t>0.030</w:t>
            </w:r>
          </w:p>
        </w:tc>
        <w:tc>
          <w:tcPr>
            <w:tcW w:w="760" w:type="dxa"/>
            <w:vAlign w:val="center"/>
          </w:tcPr>
          <w:p w14:paraId="2FFDC4F9">
            <w:pPr>
              <w:jc w:val="center"/>
              <w:rPr>
                <w:rFonts w:ascii="宋体" w:hAnsi="宋体" w:cs="宋体"/>
                <w:sz w:val="18"/>
                <w:szCs w:val="18"/>
              </w:rPr>
            </w:pPr>
            <w:r>
              <w:rPr>
                <w:rFonts w:hint="eastAsia" w:ascii="宋体" w:hAnsi="宋体" w:cs="宋体"/>
                <w:sz w:val="18"/>
                <w:szCs w:val="18"/>
              </w:rPr>
              <w:t>0.030</w:t>
            </w:r>
          </w:p>
        </w:tc>
        <w:tc>
          <w:tcPr>
            <w:tcW w:w="760" w:type="dxa"/>
            <w:vAlign w:val="center"/>
          </w:tcPr>
          <w:p w14:paraId="52A9FEA3">
            <w:pPr>
              <w:jc w:val="center"/>
              <w:rPr>
                <w:rFonts w:hint="eastAsia" w:ascii="宋体" w:hAnsi="宋体" w:cs="宋体"/>
                <w:sz w:val="18"/>
                <w:szCs w:val="18"/>
              </w:rPr>
            </w:pPr>
            <w:r>
              <w:rPr>
                <w:rFonts w:hint="eastAsia" w:ascii="宋体" w:hAnsi="宋体" w:cs="宋体"/>
                <w:sz w:val="18"/>
                <w:szCs w:val="18"/>
              </w:rPr>
              <w:t>0.040</w:t>
            </w:r>
          </w:p>
        </w:tc>
        <w:tc>
          <w:tcPr>
            <w:tcW w:w="690" w:type="dxa"/>
            <w:vAlign w:val="center"/>
          </w:tcPr>
          <w:p w14:paraId="4D02C217">
            <w:pPr>
              <w:jc w:val="center"/>
              <w:rPr>
                <w:rFonts w:ascii="宋体" w:hAnsi="宋体" w:cs="宋体"/>
                <w:sz w:val="18"/>
                <w:szCs w:val="18"/>
              </w:rPr>
            </w:pPr>
            <w:r>
              <w:rPr>
                <w:rFonts w:hint="eastAsia" w:ascii="宋体" w:hAnsi="宋体" w:cs="宋体"/>
                <w:sz w:val="18"/>
                <w:szCs w:val="18"/>
              </w:rPr>
              <w:t>0.025</w:t>
            </w:r>
          </w:p>
        </w:tc>
        <w:tc>
          <w:tcPr>
            <w:tcW w:w="730" w:type="dxa"/>
            <w:vAlign w:val="center"/>
          </w:tcPr>
          <w:p w14:paraId="77FBE34B">
            <w:pPr>
              <w:jc w:val="center"/>
              <w:rPr>
                <w:rFonts w:hint="eastAsia" w:ascii="宋体" w:hAnsi="宋体" w:cs="宋体" w:eastAsiaTheme="minorEastAsia"/>
                <w:sz w:val="18"/>
                <w:szCs w:val="18"/>
                <w:lang w:eastAsia="zh-CN"/>
              </w:rPr>
            </w:pPr>
            <w:r>
              <w:rPr>
                <w:rFonts w:hint="eastAsia" w:ascii="宋体" w:hAnsi="宋体" w:cs="宋体"/>
                <w:sz w:val="18"/>
                <w:szCs w:val="18"/>
              </w:rPr>
              <w:t>0.04</w:t>
            </w:r>
            <w:r>
              <w:rPr>
                <w:rFonts w:hint="eastAsia" w:ascii="宋体" w:hAnsi="宋体" w:cs="宋体"/>
                <w:sz w:val="18"/>
                <w:szCs w:val="18"/>
                <w:lang w:val="en-US" w:eastAsia="zh-CN"/>
              </w:rPr>
              <w:t>0</w:t>
            </w:r>
          </w:p>
        </w:tc>
        <w:tc>
          <w:tcPr>
            <w:tcW w:w="750" w:type="dxa"/>
            <w:vAlign w:val="center"/>
          </w:tcPr>
          <w:p w14:paraId="7E545CCB">
            <w:pPr>
              <w:jc w:val="center"/>
              <w:rPr>
                <w:rFonts w:ascii="宋体" w:hAnsi="宋体" w:cs="宋体"/>
                <w:sz w:val="18"/>
                <w:szCs w:val="18"/>
              </w:rPr>
            </w:pPr>
            <w:r>
              <w:rPr>
                <w:rFonts w:hint="eastAsia" w:ascii="宋体" w:hAnsi="宋体" w:cs="宋体"/>
                <w:sz w:val="18"/>
                <w:szCs w:val="18"/>
              </w:rPr>
              <w:t>0.025</w:t>
            </w:r>
          </w:p>
        </w:tc>
        <w:tc>
          <w:tcPr>
            <w:tcW w:w="690" w:type="dxa"/>
            <w:vAlign w:val="center"/>
          </w:tcPr>
          <w:p w14:paraId="5B4DE5B5">
            <w:pPr>
              <w:jc w:val="center"/>
              <w:rPr>
                <w:rFonts w:hint="default" w:ascii="宋体" w:hAnsi="宋体" w:cs="宋体" w:eastAsiaTheme="minorEastAsia"/>
                <w:sz w:val="18"/>
                <w:szCs w:val="18"/>
                <w:lang w:val="en-US" w:eastAsia="zh-CN"/>
              </w:rPr>
            </w:pPr>
            <w:r>
              <w:rPr>
                <w:rFonts w:hint="eastAsia" w:ascii="宋体" w:hAnsi="宋体" w:cs="宋体"/>
                <w:sz w:val="18"/>
                <w:szCs w:val="18"/>
              </w:rPr>
              <w:t>0.0</w:t>
            </w:r>
            <w:r>
              <w:rPr>
                <w:rFonts w:hint="eastAsia" w:ascii="宋体" w:hAnsi="宋体" w:cs="宋体"/>
                <w:sz w:val="18"/>
                <w:szCs w:val="18"/>
                <w:lang w:val="en-US" w:eastAsia="zh-CN"/>
              </w:rPr>
              <w:t>60</w:t>
            </w:r>
          </w:p>
        </w:tc>
        <w:tc>
          <w:tcPr>
            <w:tcW w:w="720" w:type="dxa"/>
            <w:vAlign w:val="center"/>
          </w:tcPr>
          <w:p w14:paraId="4D61ADEF">
            <w:pPr>
              <w:jc w:val="center"/>
              <w:rPr>
                <w:rFonts w:ascii="宋体" w:hAnsi="宋体" w:cs="宋体"/>
                <w:sz w:val="18"/>
                <w:szCs w:val="18"/>
              </w:rPr>
            </w:pPr>
            <w:r>
              <w:rPr>
                <w:rFonts w:hint="eastAsia" w:ascii="宋体" w:hAnsi="宋体" w:cs="宋体"/>
                <w:sz w:val="18"/>
                <w:szCs w:val="18"/>
              </w:rPr>
              <w:t>0.050</w:t>
            </w:r>
          </w:p>
        </w:tc>
        <w:tc>
          <w:tcPr>
            <w:tcW w:w="760" w:type="dxa"/>
            <w:vAlign w:val="center"/>
          </w:tcPr>
          <w:p w14:paraId="32CE8EC2">
            <w:pPr>
              <w:jc w:val="center"/>
              <w:rPr>
                <w:rFonts w:hint="eastAsia" w:ascii="宋体" w:hAnsi="宋体" w:cs="宋体"/>
                <w:sz w:val="18"/>
                <w:szCs w:val="18"/>
              </w:rPr>
            </w:pPr>
            <w:r>
              <w:rPr>
                <w:rFonts w:hint="eastAsia" w:ascii="宋体" w:hAnsi="宋体" w:cs="宋体"/>
                <w:sz w:val="18"/>
                <w:szCs w:val="18"/>
              </w:rPr>
              <w:t>0.0</w:t>
            </w:r>
            <w:r>
              <w:rPr>
                <w:rFonts w:hint="eastAsia" w:ascii="宋体" w:hAnsi="宋体" w:cs="宋体"/>
                <w:sz w:val="18"/>
                <w:szCs w:val="18"/>
                <w:lang w:val="en-US" w:eastAsia="zh-CN"/>
              </w:rPr>
              <w:t>7</w:t>
            </w:r>
            <w:r>
              <w:rPr>
                <w:rFonts w:hint="eastAsia" w:ascii="宋体" w:hAnsi="宋体" w:cs="宋体"/>
                <w:sz w:val="18"/>
                <w:szCs w:val="18"/>
              </w:rPr>
              <w:t>0</w:t>
            </w:r>
          </w:p>
        </w:tc>
      </w:tr>
      <w:tr w14:paraId="6C73F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236" w:type="dxa"/>
            <w:vAlign w:val="center"/>
          </w:tcPr>
          <w:p w14:paraId="28086DBD">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0.80</w:t>
            </w:r>
            <w:r>
              <w:rPr>
                <w:rFonts w:hint="eastAsia" w:ascii="微软雅黑" w:hAnsi="微软雅黑" w:eastAsia="微软雅黑" w:cs="微软雅黑"/>
                <w:sz w:val="18"/>
                <w:szCs w:val="18"/>
              </w:rPr>
              <w:t>~</w:t>
            </w:r>
            <w:r>
              <w:rPr>
                <w:rFonts w:hint="eastAsia" w:ascii="宋体" w:hAnsi="宋体" w:cs="宋体"/>
                <w:sz w:val="18"/>
                <w:szCs w:val="18"/>
              </w:rPr>
              <w:t>1.20</w:t>
            </w:r>
          </w:p>
        </w:tc>
        <w:tc>
          <w:tcPr>
            <w:tcW w:w="760" w:type="dxa"/>
            <w:vAlign w:val="center"/>
          </w:tcPr>
          <w:p w14:paraId="29F61DD9">
            <w:pPr>
              <w:jc w:val="center"/>
              <w:rPr>
                <w:rFonts w:ascii="宋体" w:hAnsi="宋体" w:cs="宋体"/>
                <w:sz w:val="18"/>
                <w:szCs w:val="18"/>
              </w:rPr>
            </w:pPr>
            <w:r>
              <w:rPr>
                <w:rFonts w:hint="eastAsia" w:ascii="宋体" w:hAnsi="宋体" w:cs="宋体"/>
                <w:sz w:val="18"/>
                <w:szCs w:val="18"/>
              </w:rPr>
              <w:t>0.030</w:t>
            </w:r>
          </w:p>
        </w:tc>
        <w:tc>
          <w:tcPr>
            <w:tcW w:w="720" w:type="dxa"/>
            <w:vAlign w:val="center"/>
          </w:tcPr>
          <w:p w14:paraId="045FA0BA">
            <w:pPr>
              <w:jc w:val="center"/>
              <w:rPr>
                <w:rFonts w:hint="default" w:ascii="宋体" w:hAnsi="宋体" w:cs="宋体" w:eastAsiaTheme="minorEastAsia"/>
                <w:sz w:val="18"/>
                <w:szCs w:val="18"/>
                <w:lang w:val="en-US" w:eastAsia="zh-CN"/>
              </w:rPr>
            </w:pPr>
            <w:r>
              <w:rPr>
                <w:rFonts w:hint="eastAsia" w:ascii="宋体" w:hAnsi="宋体" w:cs="宋体"/>
                <w:sz w:val="18"/>
                <w:szCs w:val="18"/>
              </w:rPr>
              <w:t>0.0</w:t>
            </w:r>
            <w:r>
              <w:rPr>
                <w:rFonts w:hint="eastAsia" w:ascii="宋体" w:hAnsi="宋体" w:cs="宋体"/>
                <w:sz w:val="18"/>
                <w:szCs w:val="18"/>
                <w:lang w:val="en-US" w:eastAsia="zh-CN"/>
              </w:rPr>
              <w:t>40</w:t>
            </w:r>
          </w:p>
        </w:tc>
        <w:tc>
          <w:tcPr>
            <w:tcW w:w="760" w:type="dxa"/>
            <w:vAlign w:val="center"/>
          </w:tcPr>
          <w:p w14:paraId="0F8509D4">
            <w:pPr>
              <w:jc w:val="center"/>
              <w:rPr>
                <w:rFonts w:ascii="宋体" w:hAnsi="宋体" w:cs="宋体"/>
                <w:sz w:val="18"/>
                <w:szCs w:val="18"/>
              </w:rPr>
            </w:pPr>
            <w:r>
              <w:rPr>
                <w:rFonts w:hint="eastAsia" w:ascii="宋体" w:hAnsi="宋体" w:cs="宋体"/>
                <w:sz w:val="18"/>
                <w:szCs w:val="18"/>
              </w:rPr>
              <w:t>0.035</w:t>
            </w:r>
          </w:p>
        </w:tc>
        <w:tc>
          <w:tcPr>
            <w:tcW w:w="760" w:type="dxa"/>
            <w:vAlign w:val="center"/>
          </w:tcPr>
          <w:p w14:paraId="3DC114E6">
            <w:pPr>
              <w:jc w:val="center"/>
              <w:rPr>
                <w:rFonts w:hint="eastAsia" w:ascii="宋体" w:hAnsi="宋体" w:cs="宋体"/>
                <w:sz w:val="18"/>
                <w:szCs w:val="18"/>
              </w:rPr>
            </w:pPr>
            <w:r>
              <w:rPr>
                <w:rFonts w:hint="eastAsia" w:ascii="宋体" w:hAnsi="宋体" w:cs="宋体"/>
                <w:sz w:val="18"/>
                <w:szCs w:val="18"/>
              </w:rPr>
              <w:t>0.0</w:t>
            </w:r>
            <w:r>
              <w:rPr>
                <w:rFonts w:hint="eastAsia" w:ascii="宋体" w:hAnsi="宋体" w:cs="宋体"/>
                <w:sz w:val="18"/>
                <w:szCs w:val="18"/>
                <w:lang w:val="en-US" w:eastAsia="zh-CN"/>
              </w:rPr>
              <w:t>5</w:t>
            </w:r>
            <w:r>
              <w:rPr>
                <w:rFonts w:hint="eastAsia" w:ascii="宋体" w:hAnsi="宋体" w:cs="宋体"/>
                <w:sz w:val="18"/>
                <w:szCs w:val="18"/>
              </w:rPr>
              <w:t>0</w:t>
            </w:r>
          </w:p>
        </w:tc>
        <w:tc>
          <w:tcPr>
            <w:tcW w:w="690" w:type="dxa"/>
            <w:vAlign w:val="center"/>
          </w:tcPr>
          <w:p w14:paraId="6737A912">
            <w:pPr>
              <w:jc w:val="center"/>
              <w:rPr>
                <w:rFonts w:ascii="宋体" w:hAnsi="宋体" w:cs="宋体"/>
                <w:sz w:val="18"/>
                <w:szCs w:val="18"/>
              </w:rPr>
            </w:pPr>
            <w:r>
              <w:rPr>
                <w:rFonts w:hint="eastAsia" w:ascii="宋体" w:hAnsi="宋体" w:cs="宋体"/>
                <w:sz w:val="18"/>
                <w:szCs w:val="18"/>
              </w:rPr>
              <w:t>0.035</w:t>
            </w:r>
          </w:p>
        </w:tc>
        <w:tc>
          <w:tcPr>
            <w:tcW w:w="730" w:type="dxa"/>
            <w:vAlign w:val="center"/>
          </w:tcPr>
          <w:p w14:paraId="1812DE2E">
            <w:pPr>
              <w:jc w:val="center"/>
              <w:rPr>
                <w:rFonts w:hint="eastAsia" w:ascii="宋体" w:hAnsi="宋体" w:cs="宋体"/>
                <w:sz w:val="18"/>
                <w:szCs w:val="18"/>
              </w:rPr>
            </w:pPr>
            <w:r>
              <w:rPr>
                <w:rFonts w:hint="eastAsia" w:ascii="宋体" w:hAnsi="宋体" w:cs="宋体"/>
                <w:sz w:val="18"/>
                <w:szCs w:val="18"/>
              </w:rPr>
              <w:t>0.050</w:t>
            </w:r>
          </w:p>
        </w:tc>
        <w:tc>
          <w:tcPr>
            <w:tcW w:w="750" w:type="dxa"/>
            <w:vAlign w:val="center"/>
          </w:tcPr>
          <w:p w14:paraId="4E6885BE">
            <w:pPr>
              <w:jc w:val="center"/>
              <w:rPr>
                <w:rFonts w:ascii="宋体" w:hAnsi="宋体" w:cs="宋体"/>
                <w:sz w:val="18"/>
                <w:szCs w:val="18"/>
              </w:rPr>
            </w:pPr>
            <w:r>
              <w:rPr>
                <w:rFonts w:hint="eastAsia" w:ascii="宋体" w:hAnsi="宋体" w:cs="宋体"/>
                <w:sz w:val="18"/>
                <w:szCs w:val="18"/>
              </w:rPr>
              <w:t>0.030</w:t>
            </w:r>
          </w:p>
        </w:tc>
        <w:tc>
          <w:tcPr>
            <w:tcW w:w="690" w:type="dxa"/>
            <w:vAlign w:val="center"/>
          </w:tcPr>
          <w:p w14:paraId="77338098">
            <w:pPr>
              <w:jc w:val="center"/>
              <w:rPr>
                <w:rFonts w:hint="eastAsia" w:ascii="宋体" w:hAnsi="宋体" w:cs="宋体"/>
                <w:sz w:val="18"/>
                <w:szCs w:val="18"/>
              </w:rPr>
            </w:pPr>
            <w:r>
              <w:rPr>
                <w:rFonts w:hint="eastAsia" w:ascii="宋体" w:hAnsi="宋体" w:cs="宋体"/>
                <w:sz w:val="18"/>
                <w:szCs w:val="18"/>
              </w:rPr>
              <w:t>0.0</w:t>
            </w:r>
            <w:r>
              <w:rPr>
                <w:rFonts w:hint="eastAsia" w:ascii="宋体" w:hAnsi="宋体" w:cs="宋体"/>
                <w:sz w:val="18"/>
                <w:szCs w:val="18"/>
                <w:lang w:val="en-US" w:eastAsia="zh-CN"/>
              </w:rPr>
              <w:t>7</w:t>
            </w:r>
            <w:r>
              <w:rPr>
                <w:rFonts w:hint="eastAsia" w:ascii="宋体" w:hAnsi="宋体" w:cs="宋体"/>
                <w:sz w:val="18"/>
                <w:szCs w:val="18"/>
              </w:rPr>
              <w:t>0</w:t>
            </w:r>
          </w:p>
        </w:tc>
        <w:tc>
          <w:tcPr>
            <w:tcW w:w="720" w:type="dxa"/>
            <w:vAlign w:val="center"/>
          </w:tcPr>
          <w:p w14:paraId="51B0111F">
            <w:pPr>
              <w:jc w:val="center"/>
              <w:rPr>
                <w:rFonts w:ascii="宋体" w:hAnsi="宋体" w:cs="宋体"/>
                <w:sz w:val="18"/>
                <w:szCs w:val="18"/>
              </w:rPr>
            </w:pPr>
            <w:r>
              <w:rPr>
                <w:rFonts w:hint="eastAsia" w:ascii="宋体" w:hAnsi="宋体" w:cs="宋体"/>
                <w:sz w:val="18"/>
                <w:szCs w:val="18"/>
              </w:rPr>
              <w:t>0.060</w:t>
            </w:r>
          </w:p>
        </w:tc>
        <w:tc>
          <w:tcPr>
            <w:tcW w:w="760" w:type="dxa"/>
            <w:vAlign w:val="center"/>
          </w:tcPr>
          <w:p w14:paraId="09781A2D">
            <w:pPr>
              <w:jc w:val="center"/>
              <w:rPr>
                <w:rFonts w:hint="eastAsia" w:ascii="宋体" w:hAnsi="宋体" w:cs="宋体"/>
                <w:sz w:val="18"/>
                <w:szCs w:val="18"/>
              </w:rPr>
            </w:pPr>
            <w:r>
              <w:rPr>
                <w:rFonts w:hint="eastAsia" w:ascii="宋体" w:hAnsi="宋体" w:cs="宋体"/>
                <w:sz w:val="18"/>
                <w:szCs w:val="18"/>
              </w:rPr>
              <w:t>0.0</w:t>
            </w:r>
            <w:r>
              <w:rPr>
                <w:rFonts w:hint="eastAsia" w:ascii="宋体" w:hAnsi="宋体" w:cs="宋体"/>
                <w:sz w:val="18"/>
                <w:szCs w:val="18"/>
                <w:lang w:val="en-US" w:eastAsia="zh-CN"/>
              </w:rPr>
              <w:t>8</w:t>
            </w:r>
            <w:r>
              <w:rPr>
                <w:rFonts w:hint="eastAsia" w:ascii="宋体" w:hAnsi="宋体" w:cs="宋体"/>
                <w:sz w:val="18"/>
                <w:szCs w:val="18"/>
              </w:rPr>
              <w:t>0</w:t>
            </w:r>
          </w:p>
        </w:tc>
      </w:tr>
      <w:tr w14:paraId="6C803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236" w:type="dxa"/>
            <w:vAlign w:val="center"/>
          </w:tcPr>
          <w:p w14:paraId="084D4EEA">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1.20</w:t>
            </w:r>
            <w:r>
              <w:rPr>
                <w:rFonts w:hint="eastAsia" w:ascii="微软雅黑" w:hAnsi="微软雅黑" w:eastAsia="微软雅黑" w:cs="微软雅黑"/>
                <w:sz w:val="18"/>
                <w:szCs w:val="18"/>
              </w:rPr>
              <w:t>~</w:t>
            </w:r>
            <w:r>
              <w:rPr>
                <w:rFonts w:hint="eastAsia" w:ascii="宋体" w:hAnsi="宋体" w:cs="宋体"/>
                <w:sz w:val="18"/>
                <w:szCs w:val="18"/>
              </w:rPr>
              <w:t>2.00</w:t>
            </w:r>
          </w:p>
        </w:tc>
        <w:tc>
          <w:tcPr>
            <w:tcW w:w="760" w:type="dxa"/>
            <w:vAlign w:val="center"/>
          </w:tcPr>
          <w:p w14:paraId="3E813B88">
            <w:pPr>
              <w:jc w:val="center"/>
              <w:rPr>
                <w:rFonts w:ascii="宋体" w:hAnsi="宋体" w:cs="宋体"/>
                <w:sz w:val="18"/>
                <w:szCs w:val="18"/>
              </w:rPr>
            </w:pPr>
            <w:r>
              <w:rPr>
                <w:rFonts w:hint="eastAsia" w:ascii="宋体" w:hAnsi="宋体" w:cs="宋体"/>
                <w:sz w:val="18"/>
                <w:szCs w:val="18"/>
              </w:rPr>
              <w:t>0.035</w:t>
            </w:r>
          </w:p>
        </w:tc>
        <w:tc>
          <w:tcPr>
            <w:tcW w:w="720" w:type="dxa"/>
            <w:vAlign w:val="center"/>
          </w:tcPr>
          <w:p w14:paraId="049E4E9C">
            <w:pPr>
              <w:jc w:val="center"/>
              <w:rPr>
                <w:rFonts w:hint="eastAsia" w:ascii="宋体" w:hAnsi="宋体" w:cs="宋体"/>
                <w:sz w:val="18"/>
                <w:szCs w:val="18"/>
              </w:rPr>
            </w:pPr>
            <w:r>
              <w:rPr>
                <w:rFonts w:hint="eastAsia" w:ascii="宋体" w:hAnsi="宋体" w:cs="宋体"/>
                <w:sz w:val="18"/>
                <w:szCs w:val="18"/>
              </w:rPr>
              <w:t>0.050</w:t>
            </w:r>
          </w:p>
        </w:tc>
        <w:tc>
          <w:tcPr>
            <w:tcW w:w="760" w:type="dxa"/>
            <w:vAlign w:val="center"/>
          </w:tcPr>
          <w:p w14:paraId="16A5D23A">
            <w:pPr>
              <w:jc w:val="center"/>
              <w:rPr>
                <w:rFonts w:ascii="宋体" w:hAnsi="宋体" w:cs="宋体"/>
                <w:sz w:val="18"/>
                <w:szCs w:val="18"/>
              </w:rPr>
            </w:pPr>
            <w:r>
              <w:rPr>
                <w:rFonts w:hint="eastAsia" w:ascii="宋体" w:hAnsi="宋体" w:cs="宋体"/>
                <w:sz w:val="18"/>
                <w:szCs w:val="18"/>
              </w:rPr>
              <w:t>0.040</w:t>
            </w:r>
          </w:p>
        </w:tc>
        <w:tc>
          <w:tcPr>
            <w:tcW w:w="760" w:type="dxa"/>
            <w:vAlign w:val="center"/>
          </w:tcPr>
          <w:p w14:paraId="052C65FE">
            <w:pPr>
              <w:jc w:val="center"/>
              <w:rPr>
                <w:rFonts w:hint="eastAsia" w:ascii="宋体" w:hAnsi="宋体" w:cs="宋体"/>
                <w:sz w:val="18"/>
                <w:szCs w:val="18"/>
              </w:rPr>
            </w:pPr>
            <w:r>
              <w:rPr>
                <w:rFonts w:hint="eastAsia" w:ascii="宋体" w:hAnsi="宋体" w:cs="宋体"/>
                <w:sz w:val="18"/>
                <w:szCs w:val="18"/>
              </w:rPr>
              <w:t>0.0</w:t>
            </w:r>
            <w:r>
              <w:rPr>
                <w:rFonts w:hint="eastAsia" w:ascii="宋体" w:hAnsi="宋体" w:cs="宋体"/>
                <w:sz w:val="18"/>
                <w:szCs w:val="18"/>
                <w:lang w:val="en-US" w:eastAsia="zh-CN"/>
              </w:rPr>
              <w:t>6</w:t>
            </w:r>
            <w:r>
              <w:rPr>
                <w:rFonts w:hint="eastAsia" w:ascii="宋体" w:hAnsi="宋体" w:cs="宋体"/>
                <w:sz w:val="18"/>
                <w:szCs w:val="18"/>
              </w:rPr>
              <w:t>0</w:t>
            </w:r>
          </w:p>
        </w:tc>
        <w:tc>
          <w:tcPr>
            <w:tcW w:w="690" w:type="dxa"/>
            <w:vAlign w:val="center"/>
          </w:tcPr>
          <w:p w14:paraId="1AE595F8">
            <w:pPr>
              <w:jc w:val="center"/>
              <w:rPr>
                <w:rFonts w:ascii="宋体" w:hAnsi="宋体" w:cs="宋体"/>
                <w:sz w:val="18"/>
                <w:szCs w:val="18"/>
              </w:rPr>
            </w:pPr>
            <w:r>
              <w:rPr>
                <w:rFonts w:hint="eastAsia" w:ascii="宋体" w:hAnsi="宋体" w:cs="宋体"/>
                <w:sz w:val="18"/>
                <w:szCs w:val="18"/>
              </w:rPr>
              <w:t>0.045</w:t>
            </w:r>
          </w:p>
        </w:tc>
        <w:tc>
          <w:tcPr>
            <w:tcW w:w="730" w:type="dxa"/>
            <w:vAlign w:val="center"/>
          </w:tcPr>
          <w:p w14:paraId="1E999AE4">
            <w:pPr>
              <w:jc w:val="center"/>
              <w:rPr>
                <w:rFonts w:hint="eastAsia" w:ascii="宋体" w:hAnsi="宋体" w:cs="宋体"/>
                <w:sz w:val="18"/>
                <w:szCs w:val="18"/>
              </w:rPr>
            </w:pPr>
            <w:r>
              <w:rPr>
                <w:rFonts w:hint="eastAsia" w:ascii="宋体" w:hAnsi="宋体" w:cs="宋体"/>
                <w:sz w:val="18"/>
                <w:szCs w:val="18"/>
              </w:rPr>
              <w:t>0.0</w:t>
            </w:r>
            <w:r>
              <w:rPr>
                <w:rFonts w:hint="eastAsia" w:ascii="宋体" w:hAnsi="宋体" w:cs="宋体"/>
                <w:sz w:val="18"/>
                <w:szCs w:val="18"/>
                <w:lang w:val="en-US" w:eastAsia="zh-CN"/>
              </w:rPr>
              <w:t>6</w:t>
            </w:r>
            <w:r>
              <w:rPr>
                <w:rFonts w:hint="eastAsia" w:ascii="宋体" w:hAnsi="宋体" w:cs="宋体"/>
                <w:sz w:val="18"/>
                <w:szCs w:val="18"/>
              </w:rPr>
              <w:t>0</w:t>
            </w:r>
          </w:p>
        </w:tc>
        <w:tc>
          <w:tcPr>
            <w:tcW w:w="750" w:type="dxa"/>
            <w:vAlign w:val="center"/>
          </w:tcPr>
          <w:p w14:paraId="644B5FA2">
            <w:pPr>
              <w:jc w:val="center"/>
              <w:rPr>
                <w:rFonts w:ascii="宋体" w:hAnsi="宋体" w:cs="宋体"/>
                <w:sz w:val="18"/>
                <w:szCs w:val="18"/>
              </w:rPr>
            </w:pPr>
            <w:r>
              <w:rPr>
                <w:rFonts w:hint="eastAsia" w:ascii="宋体" w:hAnsi="宋体" w:cs="宋体"/>
                <w:sz w:val="18"/>
                <w:szCs w:val="18"/>
              </w:rPr>
              <w:t>0.040</w:t>
            </w:r>
          </w:p>
        </w:tc>
        <w:tc>
          <w:tcPr>
            <w:tcW w:w="690" w:type="dxa"/>
            <w:vAlign w:val="center"/>
          </w:tcPr>
          <w:p w14:paraId="370CD111">
            <w:pPr>
              <w:jc w:val="center"/>
              <w:rPr>
                <w:rFonts w:hint="eastAsia" w:ascii="宋体" w:hAnsi="宋体" w:cs="宋体"/>
                <w:sz w:val="18"/>
                <w:szCs w:val="18"/>
              </w:rPr>
            </w:pPr>
            <w:r>
              <w:rPr>
                <w:rFonts w:hint="eastAsia" w:ascii="宋体" w:hAnsi="宋体" w:cs="宋体"/>
                <w:sz w:val="18"/>
                <w:szCs w:val="18"/>
              </w:rPr>
              <w:t>0.0</w:t>
            </w:r>
            <w:r>
              <w:rPr>
                <w:rFonts w:hint="eastAsia" w:ascii="宋体" w:hAnsi="宋体" w:cs="宋体"/>
                <w:sz w:val="18"/>
                <w:szCs w:val="18"/>
                <w:lang w:val="en-US" w:eastAsia="zh-CN"/>
              </w:rPr>
              <w:t>8</w:t>
            </w:r>
            <w:r>
              <w:rPr>
                <w:rFonts w:hint="eastAsia" w:ascii="宋体" w:hAnsi="宋体" w:cs="宋体"/>
                <w:sz w:val="18"/>
                <w:szCs w:val="18"/>
              </w:rPr>
              <w:t>0</w:t>
            </w:r>
          </w:p>
        </w:tc>
        <w:tc>
          <w:tcPr>
            <w:tcW w:w="720" w:type="dxa"/>
            <w:vAlign w:val="center"/>
          </w:tcPr>
          <w:p w14:paraId="0637AFA8">
            <w:pPr>
              <w:jc w:val="center"/>
              <w:rPr>
                <w:rFonts w:ascii="宋体" w:hAnsi="宋体" w:cs="宋体"/>
                <w:sz w:val="18"/>
                <w:szCs w:val="18"/>
              </w:rPr>
            </w:pPr>
            <w:r>
              <w:rPr>
                <w:rFonts w:hint="eastAsia" w:ascii="宋体" w:hAnsi="宋体" w:cs="宋体"/>
                <w:sz w:val="18"/>
                <w:szCs w:val="18"/>
              </w:rPr>
              <w:t>0.080</w:t>
            </w:r>
          </w:p>
        </w:tc>
        <w:tc>
          <w:tcPr>
            <w:tcW w:w="760" w:type="dxa"/>
            <w:vAlign w:val="center"/>
          </w:tcPr>
          <w:p w14:paraId="3B2693D4">
            <w:pPr>
              <w:jc w:val="center"/>
              <w:rPr>
                <w:rFonts w:hint="eastAsia" w:ascii="宋体" w:hAnsi="宋体" w:cs="宋体"/>
                <w:sz w:val="18"/>
                <w:szCs w:val="18"/>
              </w:rPr>
            </w:pPr>
            <w:r>
              <w:rPr>
                <w:rFonts w:hint="eastAsia" w:ascii="宋体" w:hAnsi="宋体" w:cs="宋体"/>
                <w:sz w:val="18"/>
                <w:szCs w:val="18"/>
              </w:rPr>
              <w:t>0.</w:t>
            </w:r>
            <w:r>
              <w:rPr>
                <w:rFonts w:hint="eastAsia" w:ascii="宋体" w:hAnsi="宋体" w:cs="宋体"/>
                <w:sz w:val="18"/>
                <w:szCs w:val="18"/>
                <w:lang w:val="en-US" w:eastAsia="zh-CN"/>
              </w:rPr>
              <w:t>100</w:t>
            </w:r>
          </w:p>
        </w:tc>
      </w:tr>
      <w:tr w14:paraId="75391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36" w:type="dxa"/>
            <w:vAlign w:val="center"/>
          </w:tcPr>
          <w:p w14:paraId="7A0E8EA5">
            <w:pPr>
              <w:jc w:val="center"/>
              <w:rPr>
                <w:rFonts w:ascii="宋体" w:hAnsi="宋体" w:cs="宋体"/>
                <w:sz w:val="18"/>
                <w:szCs w:val="18"/>
              </w:rPr>
            </w:pPr>
            <w:r>
              <w:rPr>
                <w:rFonts w:hint="eastAsia" w:ascii="仿宋" w:hAnsi="仿宋" w:eastAsia="仿宋" w:cs="仿宋"/>
                <w:sz w:val="18"/>
                <w:szCs w:val="18"/>
              </w:rPr>
              <w:t>&gt;</w:t>
            </w:r>
            <w:r>
              <w:rPr>
                <w:rFonts w:hint="eastAsia" w:ascii="宋体" w:hAnsi="宋体" w:cs="宋体"/>
                <w:sz w:val="18"/>
                <w:szCs w:val="18"/>
              </w:rPr>
              <w:t>2.00</w:t>
            </w:r>
            <w:r>
              <w:rPr>
                <w:rFonts w:hint="eastAsia" w:ascii="微软雅黑" w:hAnsi="微软雅黑" w:eastAsia="微软雅黑" w:cs="微软雅黑"/>
                <w:sz w:val="18"/>
                <w:szCs w:val="18"/>
              </w:rPr>
              <w:t>~</w:t>
            </w:r>
            <w:r>
              <w:rPr>
                <w:rFonts w:hint="eastAsia" w:ascii="宋体" w:hAnsi="宋体" w:cs="宋体"/>
                <w:sz w:val="18"/>
                <w:szCs w:val="18"/>
              </w:rPr>
              <w:t>3.00</w:t>
            </w:r>
          </w:p>
        </w:tc>
        <w:tc>
          <w:tcPr>
            <w:tcW w:w="760" w:type="dxa"/>
            <w:vAlign w:val="center"/>
          </w:tcPr>
          <w:p w14:paraId="3D9DA4E9">
            <w:pPr>
              <w:jc w:val="center"/>
              <w:rPr>
                <w:rFonts w:ascii="宋体" w:hAnsi="宋体" w:cs="宋体"/>
                <w:sz w:val="18"/>
                <w:szCs w:val="18"/>
              </w:rPr>
            </w:pPr>
            <w:r>
              <w:rPr>
                <w:rFonts w:hint="eastAsia" w:ascii="宋体" w:hAnsi="宋体" w:cs="宋体"/>
                <w:sz w:val="18"/>
                <w:szCs w:val="18"/>
              </w:rPr>
              <w:t>0.050</w:t>
            </w:r>
          </w:p>
        </w:tc>
        <w:tc>
          <w:tcPr>
            <w:tcW w:w="720" w:type="dxa"/>
            <w:vAlign w:val="center"/>
          </w:tcPr>
          <w:p w14:paraId="034D93A8">
            <w:pPr>
              <w:jc w:val="center"/>
              <w:rPr>
                <w:rFonts w:hint="default" w:ascii="宋体" w:hAnsi="宋体" w:cs="宋体" w:eastAsiaTheme="minorEastAsia"/>
                <w:sz w:val="18"/>
                <w:szCs w:val="18"/>
                <w:lang w:val="en-US" w:eastAsia="zh-CN"/>
              </w:rPr>
            </w:pPr>
            <w:r>
              <w:rPr>
                <w:rFonts w:hint="eastAsia" w:ascii="宋体" w:hAnsi="宋体" w:cs="宋体"/>
                <w:sz w:val="18"/>
                <w:szCs w:val="18"/>
              </w:rPr>
              <w:t>0.0</w:t>
            </w:r>
            <w:r>
              <w:rPr>
                <w:rFonts w:hint="eastAsia" w:ascii="宋体" w:hAnsi="宋体" w:cs="宋体"/>
                <w:sz w:val="18"/>
                <w:szCs w:val="18"/>
                <w:lang w:val="en-US" w:eastAsia="zh-CN"/>
              </w:rPr>
              <w:t>60</w:t>
            </w:r>
          </w:p>
        </w:tc>
        <w:tc>
          <w:tcPr>
            <w:tcW w:w="760" w:type="dxa"/>
            <w:vAlign w:val="center"/>
          </w:tcPr>
          <w:p w14:paraId="0D373448">
            <w:pPr>
              <w:jc w:val="center"/>
              <w:rPr>
                <w:rFonts w:ascii="宋体" w:hAnsi="宋体" w:cs="宋体"/>
                <w:sz w:val="18"/>
                <w:szCs w:val="18"/>
              </w:rPr>
            </w:pPr>
            <w:r>
              <w:rPr>
                <w:rFonts w:hint="eastAsia" w:ascii="宋体" w:hAnsi="宋体" w:cs="宋体"/>
                <w:sz w:val="18"/>
                <w:szCs w:val="18"/>
              </w:rPr>
              <w:t>0.060</w:t>
            </w:r>
          </w:p>
        </w:tc>
        <w:tc>
          <w:tcPr>
            <w:tcW w:w="760" w:type="dxa"/>
            <w:vAlign w:val="center"/>
          </w:tcPr>
          <w:p w14:paraId="2CD2099E">
            <w:pPr>
              <w:jc w:val="center"/>
              <w:rPr>
                <w:rFonts w:hint="eastAsia" w:ascii="宋体" w:hAnsi="宋体" w:cs="宋体"/>
                <w:sz w:val="18"/>
                <w:szCs w:val="18"/>
              </w:rPr>
            </w:pPr>
            <w:r>
              <w:rPr>
                <w:rFonts w:hint="eastAsia" w:ascii="宋体" w:hAnsi="宋体" w:cs="宋体"/>
                <w:sz w:val="18"/>
                <w:szCs w:val="18"/>
              </w:rPr>
              <w:t>0.0</w:t>
            </w:r>
            <w:r>
              <w:rPr>
                <w:rFonts w:hint="eastAsia" w:ascii="宋体" w:hAnsi="宋体" w:cs="宋体"/>
                <w:sz w:val="18"/>
                <w:szCs w:val="18"/>
                <w:lang w:val="en-US" w:eastAsia="zh-CN"/>
              </w:rPr>
              <w:t>7</w:t>
            </w:r>
            <w:r>
              <w:rPr>
                <w:rFonts w:hint="eastAsia" w:ascii="宋体" w:hAnsi="宋体" w:cs="宋体"/>
                <w:sz w:val="18"/>
                <w:szCs w:val="18"/>
              </w:rPr>
              <w:t>0</w:t>
            </w:r>
          </w:p>
        </w:tc>
        <w:tc>
          <w:tcPr>
            <w:tcW w:w="690" w:type="dxa"/>
            <w:vAlign w:val="center"/>
          </w:tcPr>
          <w:p w14:paraId="263F3835">
            <w:pPr>
              <w:jc w:val="center"/>
              <w:rPr>
                <w:rFonts w:ascii="宋体" w:hAnsi="宋体" w:cs="宋体"/>
                <w:sz w:val="18"/>
                <w:szCs w:val="18"/>
              </w:rPr>
            </w:pPr>
            <w:r>
              <w:rPr>
                <w:rFonts w:hint="eastAsia" w:ascii="宋体" w:hAnsi="宋体" w:cs="宋体"/>
                <w:sz w:val="18"/>
                <w:szCs w:val="18"/>
              </w:rPr>
              <w:t>0.050</w:t>
            </w:r>
          </w:p>
        </w:tc>
        <w:tc>
          <w:tcPr>
            <w:tcW w:w="730" w:type="dxa"/>
            <w:vAlign w:val="center"/>
          </w:tcPr>
          <w:p w14:paraId="096E7070">
            <w:pPr>
              <w:jc w:val="center"/>
              <w:rPr>
                <w:rFonts w:hint="default" w:ascii="宋体" w:hAnsi="宋体" w:cs="宋体" w:eastAsiaTheme="minorEastAsia"/>
                <w:sz w:val="18"/>
                <w:szCs w:val="18"/>
                <w:lang w:val="en-US" w:eastAsia="zh-CN"/>
              </w:rPr>
            </w:pPr>
            <w:r>
              <w:rPr>
                <w:rFonts w:hint="eastAsia" w:ascii="宋体" w:hAnsi="宋体" w:cs="宋体"/>
                <w:sz w:val="18"/>
                <w:szCs w:val="18"/>
              </w:rPr>
              <w:t>0.0</w:t>
            </w:r>
            <w:r>
              <w:rPr>
                <w:rFonts w:hint="eastAsia" w:ascii="宋体" w:hAnsi="宋体" w:cs="宋体"/>
                <w:sz w:val="18"/>
                <w:szCs w:val="18"/>
                <w:lang w:val="en-US" w:eastAsia="zh-CN"/>
              </w:rPr>
              <w:t>80</w:t>
            </w:r>
          </w:p>
        </w:tc>
        <w:tc>
          <w:tcPr>
            <w:tcW w:w="750" w:type="dxa"/>
            <w:vAlign w:val="center"/>
          </w:tcPr>
          <w:p w14:paraId="7E652ED9">
            <w:pPr>
              <w:jc w:val="center"/>
              <w:rPr>
                <w:rFonts w:ascii="宋体" w:hAnsi="宋体" w:cs="宋体"/>
                <w:sz w:val="18"/>
                <w:szCs w:val="18"/>
              </w:rPr>
            </w:pPr>
            <w:r>
              <w:rPr>
                <w:rFonts w:hint="eastAsia" w:ascii="宋体" w:hAnsi="宋体" w:cs="宋体"/>
                <w:sz w:val="18"/>
                <w:szCs w:val="18"/>
              </w:rPr>
              <w:t>0.060</w:t>
            </w:r>
          </w:p>
        </w:tc>
        <w:tc>
          <w:tcPr>
            <w:tcW w:w="690" w:type="dxa"/>
            <w:vAlign w:val="center"/>
          </w:tcPr>
          <w:p w14:paraId="340DB0C5">
            <w:pPr>
              <w:jc w:val="center"/>
              <w:rPr>
                <w:rFonts w:hint="default" w:ascii="宋体" w:hAnsi="宋体" w:cs="宋体" w:eastAsiaTheme="minorEastAsia"/>
                <w:sz w:val="18"/>
                <w:szCs w:val="18"/>
                <w:lang w:val="en-US" w:eastAsia="zh-CN"/>
              </w:rPr>
            </w:pPr>
            <w:r>
              <w:rPr>
                <w:rFonts w:hint="eastAsia" w:ascii="宋体" w:hAnsi="宋体" w:cs="宋体"/>
                <w:sz w:val="18"/>
                <w:szCs w:val="18"/>
              </w:rPr>
              <w:t>0.</w:t>
            </w:r>
            <w:r>
              <w:rPr>
                <w:rFonts w:hint="eastAsia" w:ascii="宋体" w:hAnsi="宋体" w:cs="宋体"/>
                <w:sz w:val="18"/>
                <w:szCs w:val="18"/>
                <w:lang w:val="en-US" w:eastAsia="zh-CN"/>
              </w:rPr>
              <w:t>100</w:t>
            </w:r>
          </w:p>
        </w:tc>
        <w:tc>
          <w:tcPr>
            <w:tcW w:w="720" w:type="dxa"/>
            <w:vAlign w:val="center"/>
          </w:tcPr>
          <w:p w14:paraId="322BF3B9">
            <w:pPr>
              <w:jc w:val="center"/>
              <w:rPr>
                <w:rFonts w:ascii="宋体" w:hAnsi="宋体" w:cs="宋体"/>
                <w:sz w:val="18"/>
                <w:szCs w:val="18"/>
              </w:rPr>
            </w:pPr>
            <w:r>
              <w:rPr>
                <w:rFonts w:hint="eastAsia" w:ascii="宋体" w:hAnsi="宋体" w:cs="宋体"/>
                <w:sz w:val="18"/>
                <w:szCs w:val="18"/>
              </w:rPr>
              <w:t>0.100</w:t>
            </w:r>
          </w:p>
        </w:tc>
        <w:tc>
          <w:tcPr>
            <w:tcW w:w="760" w:type="dxa"/>
            <w:vAlign w:val="center"/>
          </w:tcPr>
          <w:p w14:paraId="56BD6E5A">
            <w:pPr>
              <w:jc w:val="center"/>
              <w:rPr>
                <w:rFonts w:hint="eastAsia" w:ascii="宋体" w:hAnsi="宋体" w:cs="宋体"/>
                <w:sz w:val="18"/>
                <w:szCs w:val="18"/>
              </w:rPr>
            </w:pPr>
            <w:r>
              <w:rPr>
                <w:rFonts w:hint="eastAsia" w:ascii="宋体" w:hAnsi="宋体" w:cs="宋体"/>
                <w:sz w:val="18"/>
                <w:szCs w:val="18"/>
              </w:rPr>
              <w:t>0.</w:t>
            </w:r>
            <w:r>
              <w:rPr>
                <w:rFonts w:hint="eastAsia" w:ascii="宋体" w:hAnsi="宋体" w:cs="宋体"/>
                <w:sz w:val="18"/>
                <w:szCs w:val="18"/>
                <w:lang w:val="en-US" w:eastAsia="zh-CN"/>
              </w:rPr>
              <w:t>120</w:t>
            </w:r>
          </w:p>
        </w:tc>
      </w:tr>
    </w:tbl>
    <w:p w14:paraId="572DD6ED">
      <w:pPr>
        <w:numPr>
          <w:ilvl w:val="0"/>
          <w:numId w:val="0"/>
        </w:numPr>
        <w:jc w:val="center"/>
        <w:rPr>
          <w:rFonts w:hint="eastAsia" w:ascii="仿宋" w:hAnsi="仿宋" w:eastAsia="仿宋" w:cs="仿宋"/>
          <w:b w:val="0"/>
          <w:bCs w:val="0"/>
          <w:color w:val="auto"/>
          <w:sz w:val="24"/>
          <w:szCs w:val="24"/>
          <w:lang w:val="en-US" w:eastAsia="zh-CN"/>
        </w:rPr>
      </w:pPr>
    </w:p>
    <w:p w14:paraId="7EB1A913">
      <w:pPr>
        <w:ind w:firstLine="643" w:firstLineChars="200"/>
        <w:jc w:val="both"/>
        <w:rPr>
          <w:rFonts w:hint="eastAsia" w:ascii="仿宋" w:hAnsi="仿宋" w:eastAsia="仿宋" w:cs="仿宋"/>
          <w:b/>
          <w:bCs/>
          <w:color w:val="auto"/>
          <w:sz w:val="32"/>
          <w:szCs w:val="40"/>
          <w:highlight w:val="none"/>
          <w:lang w:val="en-US" w:eastAsia="zh-CN"/>
        </w:rPr>
      </w:pPr>
      <w:r>
        <w:rPr>
          <w:rFonts w:hint="eastAsia" w:ascii="仿宋" w:hAnsi="仿宋" w:eastAsia="仿宋" w:cs="仿宋"/>
          <w:b/>
          <w:bCs/>
          <w:color w:val="auto"/>
          <w:sz w:val="32"/>
          <w:szCs w:val="40"/>
          <w:highlight w:val="none"/>
          <w:lang w:val="en-US" w:eastAsia="zh-CN"/>
        </w:rPr>
        <w:t>1.3数据来源：</w:t>
      </w:r>
    </w:p>
    <w:p w14:paraId="22A85108">
      <w:pPr>
        <w:ind w:firstLine="640" w:firstLineChars="200"/>
        <w:jc w:val="both"/>
        <w:rPr>
          <w:rFonts w:hint="default" w:ascii="仿宋" w:hAnsi="仿宋" w:eastAsia="仿宋" w:cs="仿宋"/>
          <w:b/>
          <w:bCs/>
          <w:color w:val="auto"/>
          <w:sz w:val="32"/>
          <w:szCs w:val="40"/>
          <w:highlight w:val="none"/>
          <w:lang w:val="en-US" w:eastAsia="zh-CN"/>
        </w:rPr>
      </w:pPr>
      <w:r>
        <w:rPr>
          <w:rFonts w:hint="eastAsia" w:ascii="仿宋" w:hAnsi="仿宋" w:eastAsia="仿宋" w:cs="仿宋"/>
          <w:b w:val="0"/>
          <w:bCs w:val="0"/>
          <w:color w:val="auto"/>
          <w:sz w:val="32"/>
          <w:szCs w:val="40"/>
          <w:lang w:val="en-US" w:eastAsia="zh-CN"/>
        </w:rPr>
        <w:t>a）在参考</w:t>
      </w:r>
      <w:r>
        <w:rPr>
          <w:rFonts w:hint="eastAsia" w:ascii="仿宋" w:hAnsi="仿宋" w:eastAsia="仿宋" w:cs="仿宋"/>
          <w:b w:val="0"/>
          <w:bCs w:val="0"/>
          <w:color w:val="auto"/>
          <w:sz w:val="32"/>
          <w:szCs w:val="40"/>
          <w:highlight w:val="none"/>
          <w:lang w:val="en-US" w:eastAsia="zh-CN"/>
        </w:rPr>
        <w:t>同行业企业生产实际情况及市场需求的基础上制定了绿色生态质量引领指标的数据，行业内中上等水平企业能够满足质量引领指标要求</w:t>
      </w:r>
      <w:r>
        <w:rPr>
          <w:rFonts w:hint="eastAsia" w:ascii="仿宋" w:hAnsi="仿宋" w:eastAsia="仿宋" w:cs="仿宋"/>
          <w:b w:val="0"/>
          <w:bCs w:val="0"/>
          <w:color w:val="auto"/>
          <w:sz w:val="32"/>
          <w:szCs w:val="40"/>
          <w:lang w:val="en-US" w:eastAsia="zh-CN"/>
        </w:rPr>
        <w:t>。</w:t>
      </w:r>
    </w:p>
    <w:p w14:paraId="7ECEED6B">
      <w:pPr>
        <w:ind w:firstLine="640" w:firstLineChars="200"/>
        <w:jc w:val="both"/>
        <w:rPr>
          <w:rFonts w:hint="eastAsia" w:ascii="仿宋" w:hAnsi="仿宋" w:eastAsia="仿宋" w:cs="仿宋"/>
          <w:b w:val="0"/>
          <w:bCs w:val="0"/>
          <w:color w:val="auto"/>
          <w:sz w:val="32"/>
          <w:szCs w:val="40"/>
          <w:lang w:val="en-US" w:eastAsia="zh-CN"/>
        </w:rPr>
      </w:pPr>
      <w:r>
        <w:rPr>
          <w:rFonts w:hint="eastAsia" w:ascii="仿宋" w:hAnsi="仿宋" w:eastAsia="仿宋" w:cs="仿宋"/>
          <w:b w:val="0"/>
          <w:bCs w:val="0"/>
          <w:color w:val="auto"/>
          <w:sz w:val="32"/>
          <w:szCs w:val="40"/>
          <w:lang w:val="en-US" w:eastAsia="zh-CN"/>
        </w:rPr>
        <w:t>b</w:t>
      </w:r>
      <w:r>
        <w:rPr>
          <w:rFonts w:hint="eastAsia" w:ascii="仿宋" w:hAnsi="仿宋" w:eastAsia="仿宋" w:cs="仿宋"/>
          <w:b w:val="0"/>
          <w:bCs w:val="0"/>
          <w:color w:val="auto"/>
          <w:sz w:val="32"/>
          <w:szCs w:val="40"/>
          <w:highlight w:val="none"/>
          <w:lang w:val="en-US" w:eastAsia="zh-CN"/>
        </w:rPr>
        <w:t>）产品行业现状分析</w:t>
      </w:r>
      <w:r>
        <w:rPr>
          <w:rFonts w:hint="eastAsia" w:ascii="仿宋" w:hAnsi="仿宋" w:eastAsia="仿宋" w:cs="仿宋"/>
          <w:b w:val="0"/>
          <w:bCs w:val="0"/>
          <w:color w:val="auto"/>
          <w:sz w:val="32"/>
          <w:szCs w:val="40"/>
          <w:lang w:val="en-US" w:eastAsia="zh-CN"/>
        </w:rPr>
        <w:t>：</w:t>
      </w:r>
    </w:p>
    <w:p w14:paraId="0BCA189F">
      <w:pPr>
        <w:ind w:firstLine="640" w:firstLineChars="200"/>
        <w:jc w:val="both"/>
        <w:rPr>
          <w:rFonts w:hint="eastAsia" w:ascii="仿宋" w:hAnsi="仿宋" w:eastAsia="仿宋" w:cs="仿宋"/>
          <w:b w:val="0"/>
          <w:bCs w:val="0"/>
          <w:color w:val="auto"/>
          <w:kern w:val="2"/>
          <w:sz w:val="32"/>
          <w:szCs w:val="40"/>
          <w:highlight w:val="none"/>
          <w:lang w:val="en-US" w:eastAsia="zh-CN" w:bidi="ar-SA"/>
        </w:rPr>
      </w:pPr>
      <w:r>
        <w:rPr>
          <w:rFonts w:hint="eastAsia" w:ascii="仿宋" w:hAnsi="仿宋" w:eastAsia="仿宋" w:cs="仿宋"/>
          <w:b w:val="0"/>
          <w:bCs w:val="0"/>
          <w:color w:val="auto"/>
          <w:kern w:val="2"/>
          <w:sz w:val="32"/>
          <w:szCs w:val="40"/>
          <w:highlight w:val="none"/>
          <w:lang w:val="en-US" w:eastAsia="zh-CN" w:bidi="ar-SA"/>
        </w:rPr>
        <w:t>铜板带箔广泛应用于电子通讯：电子计算机、手机、集成电路、接插件、电源和信号传输、电子电路板、电磁屏蔽、散热、弹性元件等。</w:t>
      </w:r>
    </w:p>
    <w:p w14:paraId="2DBAFB1B">
      <w:pPr>
        <w:ind w:firstLine="640" w:firstLineChars="200"/>
        <w:jc w:val="both"/>
        <w:rPr>
          <w:rFonts w:hint="eastAsia" w:ascii="仿宋" w:hAnsi="仿宋" w:eastAsia="仿宋" w:cs="仿宋"/>
          <w:b w:val="0"/>
          <w:bCs w:val="0"/>
          <w:color w:val="auto"/>
          <w:kern w:val="2"/>
          <w:sz w:val="32"/>
          <w:szCs w:val="40"/>
          <w:highlight w:val="none"/>
          <w:lang w:val="en-US" w:eastAsia="zh-CN" w:bidi="ar-SA"/>
        </w:rPr>
      </w:pPr>
      <w:r>
        <w:rPr>
          <w:rFonts w:hint="eastAsia" w:ascii="仿宋" w:hAnsi="仿宋" w:eastAsia="仿宋" w:cs="仿宋"/>
          <w:b w:val="0"/>
          <w:bCs w:val="0"/>
          <w:color w:val="auto"/>
          <w:kern w:val="2"/>
          <w:sz w:val="32"/>
          <w:szCs w:val="40"/>
          <w:highlight w:val="none"/>
          <w:lang w:val="en-US" w:eastAsia="zh-CN" w:bidi="ar-SA"/>
        </w:rPr>
        <w:t>2019-2023年中国铜板带产能保持稳步增长，产量增速高于预期，2023年一季度受疫情放开影响，市场上对后市需求预期较浓，春节过后，铜板带生产企业复工较快，产量以及产能利用率逐步恢复正常，进入二季度，经过一段时间的试探，市场参与者发现下游需求仍然非常弱势，铜板带市场订单并未出现较大增长，强预期与弱现实交织，铜板带企业生产放缓，产量下滑，进入第三季度，铜板带市场分化严重，黄铜板带因房地产市场低迷的原因，订单较少，加工费下滑严重，企业生产黄铜板带产品利润较低，因此出货意愿较差，甚至有部分企业将黄铜产线转为生产其他产品，整体三季度铜板带产量保持平稳向上的趋势，到了第四季度，因铜价大幅下行，加之政策影响发力，铜板带市场订单出现增长，整体市场上对于四季度需求有较好预期，因此整体来看，2023年铜板带市场产量同比2022年有所增加。</w:t>
      </w:r>
    </w:p>
    <w:p w14:paraId="3552D51D">
      <w:pPr>
        <w:ind w:firstLine="640" w:firstLineChars="200"/>
        <w:jc w:val="both"/>
        <w:rPr>
          <w:rFonts w:hint="eastAsia" w:ascii="仿宋" w:hAnsi="仿宋" w:eastAsia="仿宋" w:cs="仿宋"/>
          <w:b w:val="0"/>
          <w:bCs w:val="0"/>
          <w:color w:val="auto"/>
          <w:kern w:val="2"/>
          <w:sz w:val="32"/>
          <w:szCs w:val="40"/>
          <w:highlight w:val="none"/>
          <w:lang w:val="en-US" w:eastAsia="zh-CN" w:bidi="ar-SA"/>
        </w:rPr>
      </w:pPr>
      <w:r>
        <w:rPr>
          <w:rFonts w:hint="eastAsia" w:ascii="仿宋" w:hAnsi="仿宋" w:eastAsia="仿宋" w:cs="仿宋"/>
          <w:b w:val="0"/>
          <w:bCs w:val="0"/>
          <w:color w:val="auto"/>
          <w:kern w:val="2"/>
          <w:sz w:val="32"/>
          <w:szCs w:val="40"/>
          <w:highlight w:val="none"/>
          <w:lang w:val="en-US" w:eastAsia="zh-CN" w:bidi="ar-SA"/>
        </w:rPr>
        <w:t>鹰潭作为代表全省铜产品的窗口，是全国最大的铜加工基地，无论从企业数量、总体规模、从业人员上都居全国第一，铜产业也是全省最大的支柱产业之一，多年来一直是全省重点发展的战略性新兴产业。然而，我省一直以来缺少先进铜材的生产能力，使得江西是铜业大省而非强省。先进铜材仍然不能满足市场需求，需要大量进口。</w:t>
      </w:r>
    </w:p>
    <w:p w14:paraId="09EB2721">
      <w:pPr>
        <w:ind w:firstLine="640" w:firstLineChars="200"/>
        <w:jc w:val="both"/>
        <w:rPr>
          <w:rFonts w:hint="eastAsia" w:ascii="仿宋" w:hAnsi="仿宋" w:eastAsia="仿宋" w:cs="仿宋"/>
          <w:b w:val="0"/>
          <w:bCs w:val="0"/>
          <w:color w:val="auto"/>
          <w:kern w:val="2"/>
          <w:sz w:val="32"/>
          <w:szCs w:val="40"/>
          <w:highlight w:val="none"/>
          <w:lang w:val="en-US" w:eastAsia="zh-CN" w:bidi="ar-SA"/>
        </w:rPr>
      </w:pPr>
      <w:r>
        <w:rPr>
          <w:rFonts w:hint="eastAsia" w:ascii="仿宋" w:hAnsi="仿宋" w:eastAsia="仿宋" w:cs="仿宋"/>
          <w:b w:val="0"/>
          <w:bCs w:val="0"/>
          <w:color w:val="auto"/>
          <w:kern w:val="2"/>
          <w:sz w:val="32"/>
          <w:szCs w:val="40"/>
          <w:highlight w:val="none"/>
          <w:lang w:val="en-US" w:eastAsia="zh-CN" w:bidi="ar-SA"/>
        </w:rPr>
        <w:t>铜板带经过近40年快速发展，产业规模、人员储备、生产技术足以促进我们再次迈上新台阶；我国生产水平已与国际先进水平无明显差别，国内能实现进口替代；但是高精轧机、剪切机、拉弯矫直机和连续退火炉等高端生产设备严重依赖国外进口，这就导致在黄铜带的精细控制方面存在不足。</w:t>
      </w:r>
    </w:p>
    <w:p w14:paraId="01DEAB32">
      <w:pPr>
        <w:ind w:firstLine="640" w:firstLineChars="200"/>
        <w:jc w:val="both"/>
        <w:rPr>
          <w:rFonts w:hint="eastAsia" w:ascii="仿宋" w:hAnsi="仿宋" w:eastAsia="仿宋" w:cs="仿宋"/>
          <w:b w:val="0"/>
          <w:bCs w:val="0"/>
          <w:color w:val="auto"/>
          <w:kern w:val="2"/>
          <w:sz w:val="32"/>
          <w:szCs w:val="40"/>
          <w:highlight w:val="none"/>
          <w:lang w:val="en-US" w:eastAsia="zh-CN" w:bidi="ar-SA"/>
        </w:rPr>
      </w:pPr>
      <w:r>
        <w:rPr>
          <w:rFonts w:hint="eastAsia" w:ascii="仿宋" w:hAnsi="仿宋" w:eastAsia="仿宋" w:cs="仿宋"/>
          <w:b w:val="0"/>
          <w:bCs w:val="0"/>
          <w:color w:val="auto"/>
          <w:kern w:val="2"/>
          <w:sz w:val="32"/>
          <w:szCs w:val="40"/>
          <w:highlight w:val="none"/>
          <w:lang w:val="en-US" w:eastAsia="zh-CN" w:bidi="ar-SA"/>
        </w:rPr>
        <w:t>普通黄铜带作为用量大、市场范围广的产品，在现有基础上，通过改进设计，精细控制，减少产品中的杂质含量，减少尺寸控制偏差，对全国普通黄铜带材加工产业、电子信息产业、高端制造业等具有重大意义，对江西省铜产业链发展具有现实意义，对于我省战略性优势产业——铜加工的加快转型升级具有重要的社会经济意义。</w:t>
      </w:r>
    </w:p>
    <w:p w14:paraId="12A67EE8">
      <w:pPr>
        <w:ind w:firstLine="640" w:firstLineChars="200"/>
        <w:jc w:val="both"/>
        <w:rPr>
          <w:rFonts w:hint="eastAsia" w:ascii="仿宋" w:hAnsi="仿宋" w:eastAsia="仿宋" w:cs="仿宋"/>
          <w:b w:val="0"/>
          <w:bCs w:val="0"/>
          <w:color w:val="auto"/>
          <w:sz w:val="32"/>
          <w:szCs w:val="40"/>
          <w:highlight w:val="none"/>
          <w:lang w:val="en-US" w:eastAsia="zh-CN"/>
        </w:rPr>
      </w:pPr>
      <w:r>
        <w:rPr>
          <w:rFonts w:hint="eastAsia" w:ascii="仿宋" w:hAnsi="仿宋" w:eastAsia="仿宋" w:cs="仿宋"/>
          <w:b w:val="0"/>
          <w:bCs w:val="0"/>
          <w:color w:val="auto"/>
          <w:kern w:val="2"/>
          <w:sz w:val="32"/>
          <w:szCs w:val="40"/>
          <w:highlight w:val="none"/>
          <w:lang w:val="en-US" w:eastAsia="zh-CN" w:bidi="ar-SA"/>
        </w:rPr>
        <w:t>贵溪市正鑫铜业有限公司生产的</w:t>
      </w:r>
      <w:r>
        <w:rPr>
          <w:rFonts w:hint="default" w:ascii="仿宋" w:hAnsi="仿宋" w:eastAsia="仿宋" w:cs="仿宋"/>
          <w:b w:val="0"/>
          <w:bCs w:val="0"/>
          <w:color w:val="auto"/>
          <w:kern w:val="2"/>
          <w:sz w:val="32"/>
          <w:szCs w:val="40"/>
          <w:highlight w:val="none"/>
          <w:lang w:eastAsia="zh-CN" w:bidi="ar-SA"/>
        </w:rPr>
        <w:t>普通黄铜带材</w:t>
      </w:r>
      <w:r>
        <w:rPr>
          <w:rFonts w:hint="eastAsia" w:ascii="仿宋" w:hAnsi="仿宋" w:eastAsia="仿宋" w:cs="仿宋"/>
          <w:b w:val="0"/>
          <w:bCs w:val="0"/>
          <w:color w:val="auto"/>
          <w:kern w:val="2"/>
          <w:sz w:val="32"/>
          <w:szCs w:val="40"/>
          <w:highlight w:val="none"/>
          <w:lang w:val="en-US" w:eastAsia="zh-CN" w:bidi="ar-SA"/>
        </w:rPr>
        <w:t>在国内达到领先水平，市场份额已逐步实现进口产品的替代。</w:t>
      </w:r>
      <w:r>
        <w:rPr>
          <w:rFonts w:hint="default" w:ascii="仿宋" w:hAnsi="仿宋" w:eastAsia="仿宋" w:cs="仿宋"/>
          <w:b w:val="0"/>
          <w:bCs w:val="0"/>
          <w:color w:val="auto"/>
          <w:sz w:val="32"/>
          <w:szCs w:val="40"/>
          <w:highlight w:val="none"/>
          <w:lang w:eastAsia="zh-CN"/>
        </w:rPr>
        <w:t>普通黄铜带材</w:t>
      </w:r>
      <w:r>
        <w:rPr>
          <w:rFonts w:hint="eastAsia" w:ascii="仿宋" w:hAnsi="仿宋" w:eastAsia="仿宋" w:cs="仿宋"/>
          <w:b w:val="0"/>
          <w:bCs w:val="0"/>
          <w:color w:val="auto"/>
          <w:sz w:val="32"/>
          <w:szCs w:val="40"/>
          <w:highlight w:val="none"/>
          <w:lang w:val="en-US" w:eastAsia="zh-CN"/>
        </w:rPr>
        <w:t xml:space="preserve">主要关键指标分化学成分和尺寸偏差，“江西绿色生态 </w:t>
      </w:r>
      <w:r>
        <w:rPr>
          <w:rFonts w:hint="default" w:ascii="仿宋" w:hAnsi="仿宋" w:eastAsia="仿宋" w:cs="仿宋"/>
          <w:b w:val="0"/>
          <w:bCs w:val="0"/>
          <w:color w:val="auto"/>
          <w:sz w:val="32"/>
          <w:szCs w:val="40"/>
          <w:highlight w:val="none"/>
          <w:lang w:eastAsia="zh-CN"/>
        </w:rPr>
        <w:t>普通黄铜带材</w:t>
      </w:r>
      <w:r>
        <w:rPr>
          <w:rFonts w:hint="eastAsia" w:ascii="仿宋" w:hAnsi="仿宋" w:eastAsia="仿宋" w:cs="仿宋"/>
          <w:b w:val="0"/>
          <w:bCs w:val="0"/>
          <w:color w:val="auto"/>
          <w:sz w:val="32"/>
          <w:szCs w:val="40"/>
          <w:highlight w:val="none"/>
          <w:lang w:val="en-US" w:eastAsia="zh-CN"/>
        </w:rPr>
        <w:t>”将Fe、Pb和厚度偏差作为质量引领关键指标，并在GB/T 2059《</w:t>
      </w:r>
      <w:r>
        <w:rPr>
          <w:rFonts w:hint="eastAsia" w:ascii="仿宋" w:hAnsi="仿宋" w:eastAsia="仿宋" w:cs="仿宋"/>
          <w:b w:val="0"/>
          <w:bCs w:val="0"/>
          <w:color w:val="auto"/>
          <w:sz w:val="32"/>
          <w:szCs w:val="40"/>
          <w:highlight w:val="none"/>
          <w:lang w:eastAsia="zh-CN"/>
        </w:rPr>
        <w:t>铜及铜合金带材</w:t>
      </w:r>
      <w:r>
        <w:rPr>
          <w:rFonts w:hint="eastAsia" w:ascii="仿宋" w:hAnsi="仿宋" w:eastAsia="仿宋" w:cs="仿宋"/>
          <w:b w:val="0"/>
          <w:bCs w:val="0"/>
          <w:color w:val="auto"/>
          <w:sz w:val="32"/>
          <w:szCs w:val="40"/>
          <w:highlight w:val="none"/>
          <w:lang w:val="en-US" w:eastAsia="zh-CN"/>
        </w:rPr>
        <w:t>》的限定值要求上进行了质量拔高要求，这些指标的制定是在综合考虑当前行业和客户需求的基础上制定的，行业中上等企业基本能满足该指标的要求，符合当前行业现状。</w:t>
      </w:r>
    </w:p>
    <w:p w14:paraId="0A37BC13">
      <w:pPr>
        <w:numPr>
          <w:ilvl w:val="0"/>
          <w:numId w:val="0"/>
        </w:num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2. </w:t>
      </w:r>
      <w:r>
        <w:rPr>
          <w:rFonts w:hint="eastAsia" w:ascii="仿宋" w:hAnsi="仿宋" w:eastAsia="仿宋" w:cs="仿宋"/>
          <w:b/>
          <w:bCs/>
          <w:sz w:val="32"/>
          <w:szCs w:val="32"/>
          <w:highlight w:val="none"/>
          <w:lang w:val="en-US" w:eastAsia="zh-CN"/>
        </w:rPr>
        <w:t>资源节约</w:t>
      </w:r>
    </w:p>
    <w:p w14:paraId="48A76741">
      <w:pPr>
        <w:spacing w:line="360" w:lineRule="auto"/>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企业按照国家标准要求，遵循技术先进性、质量可靠性、产品安全性、经济可行性四个原则，制定原材料节约、废弃物循环利用的制度和方案，积极引进并采用先进的生产工艺或设备降低单位产品能源消耗限额，以提高原材料综合利用率。本企业实际水平主要原材料综合利用率基本达到100%，单位产品能源消耗限额达到2级要求；行业中上等水平企业主要原材料利用率基本达到99%，产品能源消耗限额达到2级要求。</w:t>
      </w:r>
    </w:p>
    <w:p w14:paraId="2482FFF8">
      <w:pPr>
        <w:spacing w:line="360" w:lineRule="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 环境保护</w:t>
      </w:r>
    </w:p>
    <w:p w14:paraId="0597FEA8">
      <w:pPr>
        <w:spacing w:line="360" w:lineRule="auto"/>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3.1 排污达标</w:t>
      </w:r>
      <w:r>
        <w:rPr>
          <w:rFonts w:hint="eastAsia" w:ascii="仿宋" w:hAnsi="仿宋" w:eastAsia="仿宋" w:cs="仿宋"/>
          <w:sz w:val="32"/>
          <w:szCs w:val="32"/>
          <w:lang w:val="en-US" w:eastAsia="zh-CN"/>
        </w:rPr>
        <w:t xml:space="preserve">：企业严格落实废水、废气、噪声、固废污染防治措施，污染物的排放应达到国家和地方相关政策、法律法规及标准要求，排放总量应达到总量控制的要求。 </w:t>
      </w:r>
    </w:p>
    <w:p w14:paraId="7C6C1B78">
      <w:pPr>
        <w:spacing w:line="360" w:lineRule="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 生态协同</w:t>
      </w:r>
    </w:p>
    <w:p w14:paraId="5B0CDA2F">
      <w:pPr>
        <w:spacing w:line="360" w:lineRule="auto"/>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4.1 生态设计：</w:t>
      </w:r>
      <w:r>
        <w:rPr>
          <w:rFonts w:hint="eastAsia" w:ascii="仿宋" w:hAnsi="仿宋" w:eastAsia="仿宋" w:cs="仿宋"/>
          <w:sz w:val="32"/>
          <w:szCs w:val="32"/>
          <w:lang w:val="en-US" w:eastAsia="zh-CN"/>
        </w:rPr>
        <w:t>要求设计生产工艺时，按照GB/T 24256对产品进行生态设计，并按GB/T 32161对生产的产品进行生态设计产品评价。</w:t>
      </w:r>
    </w:p>
    <w:p w14:paraId="524DAEB4">
      <w:pPr>
        <w:spacing w:line="360" w:lineRule="auto"/>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4.2 绿色供应链管理：</w:t>
      </w:r>
      <w:r>
        <w:rPr>
          <w:rFonts w:hint="eastAsia" w:ascii="仿宋" w:hAnsi="仿宋" w:eastAsia="仿宋" w:cs="仿宋"/>
          <w:sz w:val="32"/>
          <w:szCs w:val="32"/>
          <w:lang w:val="en-US" w:eastAsia="zh-CN"/>
        </w:rPr>
        <w:t>企业应按照 GB/T 33635 的要求，推行绿色供应链管理，带动供应链上下游企业持续提高资源利用效率，改善环境绩效，实现绿色发展。</w:t>
      </w:r>
    </w:p>
    <w:p w14:paraId="4DDD1502">
      <w:pPr>
        <w:rPr>
          <w:rFonts w:hint="default" w:ascii="仿宋" w:hAnsi="仿宋" w:eastAsia="仿宋" w:cs="仿宋"/>
          <w:sz w:val="32"/>
          <w:szCs w:val="32"/>
          <w:highlight w:val="yellow"/>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59CA32"/>
    <w:multiLevelType w:val="singleLevel"/>
    <w:tmpl w:val="8D59CA32"/>
    <w:lvl w:ilvl="0" w:tentative="0">
      <w:start w:val="1"/>
      <w:numFmt w:val="decimal"/>
      <w:suff w:val="space"/>
      <w:lvlText w:val="%1."/>
      <w:lvlJc w:val="left"/>
    </w:lvl>
  </w:abstractNum>
  <w:abstractNum w:abstractNumId="1">
    <w:nsid w:val="9E8AEAB0"/>
    <w:multiLevelType w:val="singleLevel"/>
    <w:tmpl w:val="9E8AEAB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51FC1B27"/>
    <w:rsid w:val="0001300A"/>
    <w:rsid w:val="002F78AA"/>
    <w:rsid w:val="008B1170"/>
    <w:rsid w:val="009848EB"/>
    <w:rsid w:val="00B514C3"/>
    <w:rsid w:val="01253A9F"/>
    <w:rsid w:val="013700BE"/>
    <w:rsid w:val="014D4246"/>
    <w:rsid w:val="016C26C5"/>
    <w:rsid w:val="01E27506"/>
    <w:rsid w:val="020D51D4"/>
    <w:rsid w:val="02170F5B"/>
    <w:rsid w:val="021E5F2E"/>
    <w:rsid w:val="02497EEE"/>
    <w:rsid w:val="0268792B"/>
    <w:rsid w:val="027A1858"/>
    <w:rsid w:val="028C12A6"/>
    <w:rsid w:val="02920BA6"/>
    <w:rsid w:val="02A51E2A"/>
    <w:rsid w:val="02C60471"/>
    <w:rsid w:val="02D13D63"/>
    <w:rsid w:val="03586A91"/>
    <w:rsid w:val="038806F6"/>
    <w:rsid w:val="03A71D39"/>
    <w:rsid w:val="03B71506"/>
    <w:rsid w:val="03CC4E55"/>
    <w:rsid w:val="03F3566F"/>
    <w:rsid w:val="04282036"/>
    <w:rsid w:val="046419F7"/>
    <w:rsid w:val="04B20DCD"/>
    <w:rsid w:val="04DD2C7E"/>
    <w:rsid w:val="05144873"/>
    <w:rsid w:val="053E3C48"/>
    <w:rsid w:val="056C0307"/>
    <w:rsid w:val="05771B1D"/>
    <w:rsid w:val="05B553E0"/>
    <w:rsid w:val="05D865D6"/>
    <w:rsid w:val="06020558"/>
    <w:rsid w:val="06063F88"/>
    <w:rsid w:val="060F45F1"/>
    <w:rsid w:val="064E1D34"/>
    <w:rsid w:val="069C2A94"/>
    <w:rsid w:val="069E25D9"/>
    <w:rsid w:val="06BD3A45"/>
    <w:rsid w:val="06D74D81"/>
    <w:rsid w:val="071554CF"/>
    <w:rsid w:val="07317127"/>
    <w:rsid w:val="074B39A6"/>
    <w:rsid w:val="074C7FFA"/>
    <w:rsid w:val="075918E2"/>
    <w:rsid w:val="077F67F9"/>
    <w:rsid w:val="07846FFD"/>
    <w:rsid w:val="07A23110"/>
    <w:rsid w:val="07D17DB0"/>
    <w:rsid w:val="07E56F1C"/>
    <w:rsid w:val="07EC1D78"/>
    <w:rsid w:val="07F5426C"/>
    <w:rsid w:val="08644684"/>
    <w:rsid w:val="089D06A1"/>
    <w:rsid w:val="08F23B32"/>
    <w:rsid w:val="08FB0B95"/>
    <w:rsid w:val="093F4DB0"/>
    <w:rsid w:val="0A011EF4"/>
    <w:rsid w:val="0A2F7010"/>
    <w:rsid w:val="0A4B3E7B"/>
    <w:rsid w:val="0A4C218B"/>
    <w:rsid w:val="0A567EA1"/>
    <w:rsid w:val="0A7A783D"/>
    <w:rsid w:val="0A7D7394"/>
    <w:rsid w:val="0A8827C5"/>
    <w:rsid w:val="0AAF1EFF"/>
    <w:rsid w:val="0AC411F2"/>
    <w:rsid w:val="0B4870F1"/>
    <w:rsid w:val="0B625220"/>
    <w:rsid w:val="0B9F2732"/>
    <w:rsid w:val="0BAB779E"/>
    <w:rsid w:val="0BF96ACA"/>
    <w:rsid w:val="0BFD71BB"/>
    <w:rsid w:val="0C0F23A9"/>
    <w:rsid w:val="0C3F09F8"/>
    <w:rsid w:val="0C6C2DD7"/>
    <w:rsid w:val="0C9E7DAB"/>
    <w:rsid w:val="0D143662"/>
    <w:rsid w:val="0D1556E6"/>
    <w:rsid w:val="0D3F2DA8"/>
    <w:rsid w:val="0D454A36"/>
    <w:rsid w:val="0D55062B"/>
    <w:rsid w:val="0D7D56DC"/>
    <w:rsid w:val="0D7F6C05"/>
    <w:rsid w:val="0DEC2627"/>
    <w:rsid w:val="0E0F3A25"/>
    <w:rsid w:val="0E607570"/>
    <w:rsid w:val="0E8F2407"/>
    <w:rsid w:val="0ED9579C"/>
    <w:rsid w:val="0EF25DB4"/>
    <w:rsid w:val="0F476BAA"/>
    <w:rsid w:val="0F7E7CAA"/>
    <w:rsid w:val="0F8A66F2"/>
    <w:rsid w:val="0FB554E1"/>
    <w:rsid w:val="0FB90527"/>
    <w:rsid w:val="0FC63F72"/>
    <w:rsid w:val="0FE27F60"/>
    <w:rsid w:val="10064C81"/>
    <w:rsid w:val="1044402E"/>
    <w:rsid w:val="10452E15"/>
    <w:rsid w:val="1049462C"/>
    <w:rsid w:val="10ED7785"/>
    <w:rsid w:val="11055274"/>
    <w:rsid w:val="11254CC9"/>
    <w:rsid w:val="11333889"/>
    <w:rsid w:val="116B4B33"/>
    <w:rsid w:val="11890405"/>
    <w:rsid w:val="118C21DD"/>
    <w:rsid w:val="11FC56F5"/>
    <w:rsid w:val="123A0C48"/>
    <w:rsid w:val="129E4654"/>
    <w:rsid w:val="12B939A0"/>
    <w:rsid w:val="12D616CB"/>
    <w:rsid w:val="12E4695E"/>
    <w:rsid w:val="130F1A8E"/>
    <w:rsid w:val="131A0366"/>
    <w:rsid w:val="138D19C0"/>
    <w:rsid w:val="138E1118"/>
    <w:rsid w:val="1394518C"/>
    <w:rsid w:val="13BA264C"/>
    <w:rsid w:val="13BD4AE2"/>
    <w:rsid w:val="13FD25BC"/>
    <w:rsid w:val="14785CC2"/>
    <w:rsid w:val="14A910E0"/>
    <w:rsid w:val="14AE5DA4"/>
    <w:rsid w:val="14B149DD"/>
    <w:rsid w:val="15582E2E"/>
    <w:rsid w:val="15793EC9"/>
    <w:rsid w:val="15862948"/>
    <w:rsid w:val="15A53513"/>
    <w:rsid w:val="15B9065A"/>
    <w:rsid w:val="15C53FB9"/>
    <w:rsid w:val="15F47CC1"/>
    <w:rsid w:val="16134725"/>
    <w:rsid w:val="162571F0"/>
    <w:rsid w:val="1685735E"/>
    <w:rsid w:val="16A36DFC"/>
    <w:rsid w:val="16D070E9"/>
    <w:rsid w:val="174A26AC"/>
    <w:rsid w:val="178B02B6"/>
    <w:rsid w:val="17987142"/>
    <w:rsid w:val="17BC2B32"/>
    <w:rsid w:val="17CB4327"/>
    <w:rsid w:val="17CC7D8E"/>
    <w:rsid w:val="17F1742F"/>
    <w:rsid w:val="18A230A3"/>
    <w:rsid w:val="18F77CFC"/>
    <w:rsid w:val="19050B06"/>
    <w:rsid w:val="191F760D"/>
    <w:rsid w:val="19571AF9"/>
    <w:rsid w:val="199B1FCC"/>
    <w:rsid w:val="19A90406"/>
    <w:rsid w:val="19B72B7E"/>
    <w:rsid w:val="19B9511B"/>
    <w:rsid w:val="19C341AF"/>
    <w:rsid w:val="1A614C78"/>
    <w:rsid w:val="1A7301FF"/>
    <w:rsid w:val="1ABE0FD6"/>
    <w:rsid w:val="1ACD5A20"/>
    <w:rsid w:val="1AEC7F0C"/>
    <w:rsid w:val="1B2E00EB"/>
    <w:rsid w:val="1BE95DF2"/>
    <w:rsid w:val="1C4F338C"/>
    <w:rsid w:val="1C6D7A32"/>
    <w:rsid w:val="1C964C50"/>
    <w:rsid w:val="1D1F5CEE"/>
    <w:rsid w:val="1D3675F7"/>
    <w:rsid w:val="1D4D6566"/>
    <w:rsid w:val="1D5A3F4C"/>
    <w:rsid w:val="1D5A4080"/>
    <w:rsid w:val="1DB06469"/>
    <w:rsid w:val="1DE24955"/>
    <w:rsid w:val="1E030384"/>
    <w:rsid w:val="1E573392"/>
    <w:rsid w:val="1EED61A8"/>
    <w:rsid w:val="1F6B0353"/>
    <w:rsid w:val="1FA27109"/>
    <w:rsid w:val="1FE26542"/>
    <w:rsid w:val="202F4B24"/>
    <w:rsid w:val="20497E80"/>
    <w:rsid w:val="20592C14"/>
    <w:rsid w:val="20895B88"/>
    <w:rsid w:val="215869F4"/>
    <w:rsid w:val="219B0385"/>
    <w:rsid w:val="21BD6DEA"/>
    <w:rsid w:val="21D63673"/>
    <w:rsid w:val="222B34BD"/>
    <w:rsid w:val="22620CB1"/>
    <w:rsid w:val="226C3581"/>
    <w:rsid w:val="227C2F3C"/>
    <w:rsid w:val="22962E0A"/>
    <w:rsid w:val="229B750E"/>
    <w:rsid w:val="235231E1"/>
    <w:rsid w:val="235B182C"/>
    <w:rsid w:val="236D4FEF"/>
    <w:rsid w:val="23F52C20"/>
    <w:rsid w:val="2402310A"/>
    <w:rsid w:val="24411BB3"/>
    <w:rsid w:val="24447BC8"/>
    <w:rsid w:val="244E3F5C"/>
    <w:rsid w:val="247D1941"/>
    <w:rsid w:val="24DB3D54"/>
    <w:rsid w:val="24FF14F7"/>
    <w:rsid w:val="25217103"/>
    <w:rsid w:val="254B6225"/>
    <w:rsid w:val="25675166"/>
    <w:rsid w:val="25954260"/>
    <w:rsid w:val="25F34F3E"/>
    <w:rsid w:val="262C33F3"/>
    <w:rsid w:val="2647393B"/>
    <w:rsid w:val="26654351"/>
    <w:rsid w:val="26A44A09"/>
    <w:rsid w:val="27083C37"/>
    <w:rsid w:val="271E22DD"/>
    <w:rsid w:val="27471925"/>
    <w:rsid w:val="27566A34"/>
    <w:rsid w:val="27804EBE"/>
    <w:rsid w:val="27DB302C"/>
    <w:rsid w:val="27E93F55"/>
    <w:rsid w:val="280F1D8B"/>
    <w:rsid w:val="281A4A03"/>
    <w:rsid w:val="281A75F4"/>
    <w:rsid w:val="282A2BB6"/>
    <w:rsid w:val="28415851"/>
    <w:rsid w:val="28A42818"/>
    <w:rsid w:val="28CE0B1F"/>
    <w:rsid w:val="28E55011"/>
    <w:rsid w:val="293A4A83"/>
    <w:rsid w:val="296E6A83"/>
    <w:rsid w:val="29726FB9"/>
    <w:rsid w:val="298D5F31"/>
    <w:rsid w:val="29932A96"/>
    <w:rsid w:val="29A05F88"/>
    <w:rsid w:val="29A745F1"/>
    <w:rsid w:val="29BC42E5"/>
    <w:rsid w:val="29D80FE5"/>
    <w:rsid w:val="29ED3190"/>
    <w:rsid w:val="2A5B53CF"/>
    <w:rsid w:val="2AC455D8"/>
    <w:rsid w:val="2AC633CF"/>
    <w:rsid w:val="2AC745A7"/>
    <w:rsid w:val="2AFC23AF"/>
    <w:rsid w:val="2B4A1FFC"/>
    <w:rsid w:val="2B6431E7"/>
    <w:rsid w:val="2B8841E1"/>
    <w:rsid w:val="2B8A0364"/>
    <w:rsid w:val="2B9415E6"/>
    <w:rsid w:val="2BB85687"/>
    <w:rsid w:val="2BF14465"/>
    <w:rsid w:val="2C535BE4"/>
    <w:rsid w:val="2C622959"/>
    <w:rsid w:val="2CA31DC0"/>
    <w:rsid w:val="2CAD5199"/>
    <w:rsid w:val="2CD25435"/>
    <w:rsid w:val="2CEA3A5C"/>
    <w:rsid w:val="2CF42196"/>
    <w:rsid w:val="2D2B7C37"/>
    <w:rsid w:val="2D3921CE"/>
    <w:rsid w:val="2D3F3F8C"/>
    <w:rsid w:val="2D7D1F61"/>
    <w:rsid w:val="2D8D5A27"/>
    <w:rsid w:val="2D986164"/>
    <w:rsid w:val="2DFE15B5"/>
    <w:rsid w:val="2E222E96"/>
    <w:rsid w:val="2E3B6E3B"/>
    <w:rsid w:val="2E5F5A62"/>
    <w:rsid w:val="2EAD20DA"/>
    <w:rsid w:val="2EFB430C"/>
    <w:rsid w:val="2F0B7412"/>
    <w:rsid w:val="2FAD5F3B"/>
    <w:rsid w:val="2FB92613"/>
    <w:rsid w:val="2FE00DF5"/>
    <w:rsid w:val="301163DA"/>
    <w:rsid w:val="30240B15"/>
    <w:rsid w:val="304D284C"/>
    <w:rsid w:val="307141DA"/>
    <w:rsid w:val="309F51F7"/>
    <w:rsid w:val="30B50EE6"/>
    <w:rsid w:val="311601C6"/>
    <w:rsid w:val="311B3266"/>
    <w:rsid w:val="317D4738"/>
    <w:rsid w:val="31963370"/>
    <w:rsid w:val="319E7452"/>
    <w:rsid w:val="31B9579B"/>
    <w:rsid w:val="323F5F44"/>
    <w:rsid w:val="32410B73"/>
    <w:rsid w:val="325C7FE5"/>
    <w:rsid w:val="325E589C"/>
    <w:rsid w:val="327F2D02"/>
    <w:rsid w:val="32801DFE"/>
    <w:rsid w:val="32A60F2C"/>
    <w:rsid w:val="32C42AE7"/>
    <w:rsid w:val="32D82B46"/>
    <w:rsid w:val="32ED39BC"/>
    <w:rsid w:val="33165F62"/>
    <w:rsid w:val="33914455"/>
    <w:rsid w:val="33E551B7"/>
    <w:rsid w:val="33F53386"/>
    <w:rsid w:val="33F6517C"/>
    <w:rsid w:val="340432B2"/>
    <w:rsid w:val="340B28DE"/>
    <w:rsid w:val="340F5CCD"/>
    <w:rsid w:val="341C6BE6"/>
    <w:rsid w:val="34714439"/>
    <w:rsid w:val="348D6837"/>
    <w:rsid w:val="34C4349A"/>
    <w:rsid w:val="34D177CB"/>
    <w:rsid w:val="354D5A01"/>
    <w:rsid w:val="35674000"/>
    <w:rsid w:val="358F6CF5"/>
    <w:rsid w:val="35E75BBA"/>
    <w:rsid w:val="35FB5EF4"/>
    <w:rsid w:val="360C4C11"/>
    <w:rsid w:val="36554D38"/>
    <w:rsid w:val="36840F3E"/>
    <w:rsid w:val="369E3181"/>
    <w:rsid w:val="36B21A17"/>
    <w:rsid w:val="36C1550B"/>
    <w:rsid w:val="373A6514"/>
    <w:rsid w:val="37495C3F"/>
    <w:rsid w:val="37752CBE"/>
    <w:rsid w:val="37D82689"/>
    <w:rsid w:val="38431DED"/>
    <w:rsid w:val="385E3ADB"/>
    <w:rsid w:val="38B746AA"/>
    <w:rsid w:val="38F376B9"/>
    <w:rsid w:val="39E334DD"/>
    <w:rsid w:val="3A1C0B04"/>
    <w:rsid w:val="3A381D3E"/>
    <w:rsid w:val="3AAD0C8B"/>
    <w:rsid w:val="3AD8594F"/>
    <w:rsid w:val="3AE83D85"/>
    <w:rsid w:val="3AFF3874"/>
    <w:rsid w:val="3BDC164E"/>
    <w:rsid w:val="3BEE6DF5"/>
    <w:rsid w:val="3C285997"/>
    <w:rsid w:val="3C47487B"/>
    <w:rsid w:val="3C547460"/>
    <w:rsid w:val="3C6002FE"/>
    <w:rsid w:val="3C6F6169"/>
    <w:rsid w:val="3C891EC1"/>
    <w:rsid w:val="3C8E528F"/>
    <w:rsid w:val="3CAE3C78"/>
    <w:rsid w:val="3CB0502E"/>
    <w:rsid w:val="3D252812"/>
    <w:rsid w:val="3D623C55"/>
    <w:rsid w:val="3D71617F"/>
    <w:rsid w:val="3D99702B"/>
    <w:rsid w:val="3DCD39F0"/>
    <w:rsid w:val="3DD93067"/>
    <w:rsid w:val="3DF708AD"/>
    <w:rsid w:val="3E283158"/>
    <w:rsid w:val="3E341801"/>
    <w:rsid w:val="3E47474F"/>
    <w:rsid w:val="3E482CD1"/>
    <w:rsid w:val="3EB30DE7"/>
    <w:rsid w:val="3EC00EAC"/>
    <w:rsid w:val="3EEA3117"/>
    <w:rsid w:val="3F0E5064"/>
    <w:rsid w:val="3F1000CA"/>
    <w:rsid w:val="3F241755"/>
    <w:rsid w:val="3F577E93"/>
    <w:rsid w:val="3F6451A0"/>
    <w:rsid w:val="3F9873CB"/>
    <w:rsid w:val="3FA21C56"/>
    <w:rsid w:val="3FA63075"/>
    <w:rsid w:val="3FD9009F"/>
    <w:rsid w:val="4009717C"/>
    <w:rsid w:val="40596C5B"/>
    <w:rsid w:val="40D85F08"/>
    <w:rsid w:val="4140770B"/>
    <w:rsid w:val="415438FB"/>
    <w:rsid w:val="416F5550"/>
    <w:rsid w:val="41CE6D67"/>
    <w:rsid w:val="41E274BA"/>
    <w:rsid w:val="420847C6"/>
    <w:rsid w:val="4219484D"/>
    <w:rsid w:val="42754F68"/>
    <w:rsid w:val="42882749"/>
    <w:rsid w:val="429E15F8"/>
    <w:rsid w:val="42D1686B"/>
    <w:rsid w:val="42DA1A2E"/>
    <w:rsid w:val="431B49DA"/>
    <w:rsid w:val="437304B6"/>
    <w:rsid w:val="43926EE3"/>
    <w:rsid w:val="43AD0658"/>
    <w:rsid w:val="440B5ABB"/>
    <w:rsid w:val="447C47D3"/>
    <w:rsid w:val="448E20C2"/>
    <w:rsid w:val="449219B6"/>
    <w:rsid w:val="44DB5B88"/>
    <w:rsid w:val="45343151"/>
    <w:rsid w:val="4544269E"/>
    <w:rsid w:val="455E25E7"/>
    <w:rsid w:val="45B22D54"/>
    <w:rsid w:val="45B63B66"/>
    <w:rsid w:val="45C6602D"/>
    <w:rsid w:val="45CE3568"/>
    <w:rsid w:val="45E22BAD"/>
    <w:rsid w:val="46386FBF"/>
    <w:rsid w:val="464A45B2"/>
    <w:rsid w:val="46900CDC"/>
    <w:rsid w:val="46E52A4C"/>
    <w:rsid w:val="470733BD"/>
    <w:rsid w:val="470A766A"/>
    <w:rsid w:val="470B25E9"/>
    <w:rsid w:val="470D3825"/>
    <w:rsid w:val="474426F5"/>
    <w:rsid w:val="47B101EF"/>
    <w:rsid w:val="47C6205A"/>
    <w:rsid w:val="47EF2DD1"/>
    <w:rsid w:val="48046CB7"/>
    <w:rsid w:val="488B026F"/>
    <w:rsid w:val="488C485A"/>
    <w:rsid w:val="48F562FB"/>
    <w:rsid w:val="48F5760E"/>
    <w:rsid w:val="490F1374"/>
    <w:rsid w:val="491F6DCE"/>
    <w:rsid w:val="493D3563"/>
    <w:rsid w:val="49404658"/>
    <w:rsid w:val="497164FA"/>
    <w:rsid w:val="49970B51"/>
    <w:rsid w:val="49CB4D3F"/>
    <w:rsid w:val="49CE14DB"/>
    <w:rsid w:val="4A067C42"/>
    <w:rsid w:val="4A1549BF"/>
    <w:rsid w:val="4A4E7C99"/>
    <w:rsid w:val="4ACA0B1A"/>
    <w:rsid w:val="4AFC64B6"/>
    <w:rsid w:val="4B247D6F"/>
    <w:rsid w:val="4B33700C"/>
    <w:rsid w:val="4B372202"/>
    <w:rsid w:val="4B530F8E"/>
    <w:rsid w:val="4BAE7C24"/>
    <w:rsid w:val="4BC457D6"/>
    <w:rsid w:val="4BE90B99"/>
    <w:rsid w:val="4C042029"/>
    <w:rsid w:val="4C377F47"/>
    <w:rsid w:val="4C64537C"/>
    <w:rsid w:val="4C667968"/>
    <w:rsid w:val="4C874F8A"/>
    <w:rsid w:val="4C9076FF"/>
    <w:rsid w:val="4CA03799"/>
    <w:rsid w:val="4CA81F62"/>
    <w:rsid w:val="4CB41174"/>
    <w:rsid w:val="4CCD418E"/>
    <w:rsid w:val="4CCE5721"/>
    <w:rsid w:val="4D0201D0"/>
    <w:rsid w:val="4D1C1244"/>
    <w:rsid w:val="4D4404A2"/>
    <w:rsid w:val="4D6F4507"/>
    <w:rsid w:val="4DA95CBB"/>
    <w:rsid w:val="4DCA6149"/>
    <w:rsid w:val="4DEA5286"/>
    <w:rsid w:val="4E0D5E73"/>
    <w:rsid w:val="4E4C5F28"/>
    <w:rsid w:val="4E5942C4"/>
    <w:rsid w:val="4E5A0B2C"/>
    <w:rsid w:val="4E983985"/>
    <w:rsid w:val="4F1207A2"/>
    <w:rsid w:val="4F1D654B"/>
    <w:rsid w:val="4F4D4375"/>
    <w:rsid w:val="4FF8739B"/>
    <w:rsid w:val="500E4CB8"/>
    <w:rsid w:val="503A4D9D"/>
    <w:rsid w:val="506A5D35"/>
    <w:rsid w:val="50717DA7"/>
    <w:rsid w:val="50A136FB"/>
    <w:rsid w:val="50BF386A"/>
    <w:rsid w:val="50DF245F"/>
    <w:rsid w:val="50F31DAC"/>
    <w:rsid w:val="516567D4"/>
    <w:rsid w:val="51F13776"/>
    <w:rsid w:val="51FB6FF1"/>
    <w:rsid w:val="51FC1B27"/>
    <w:rsid w:val="520D0273"/>
    <w:rsid w:val="521E45F9"/>
    <w:rsid w:val="521F2707"/>
    <w:rsid w:val="522C44DF"/>
    <w:rsid w:val="52551305"/>
    <w:rsid w:val="529C60D6"/>
    <w:rsid w:val="52A13BC2"/>
    <w:rsid w:val="53211ACF"/>
    <w:rsid w:val="533E5881"/>
    <w:rsid w:val="53402DC2"/>
    <w:rsid w:val="53654BBB"/>
    <w:rsid w:val="53775BC8"/>
    <w:rsid w:val="53A90B6E"/>
    <w:rsid w:val="53D371C5"/>
    <w:rsid w:val="544D34D8"/>
    <w:rsid w:val="54AA76FC"/>
    <w:rsid w:val="54B2227A"/>
    <w:rsid w:val="54B603FD"/>
    <w:rsid w:val="550C1402"/>
    <w:rsid w:val="551116C0"/>
    <w:rsid w:val="552973D5"/>
    <w:rsid w:val="55460C39"/>
    <w:rsid w:val="55534EDE"/>
    <w:rsid w:val="556926A7"/>
    <w:rsid w:val="55A2338A"/>
    <w:rsid w:val="55E818E2"/>
    <w:rsid w:val="56136A31"/>
    <w:rsid w:val="563550D7"/>
    <w:rsid w:val="56442F17"/>
    <w:rsid w:val="564C125A"/>
    <w:rsid w:val="566D6F12"/>
    <w:rsid w:val="56770BE2"/>
    <w:rsid w:val="56AA713A"/>
    <w:rsid w:val="56BD1DFA"/>
    <w:rsid w:val="573961A0"/>
    <w:rsid w:val="573F1855"/>
    <w:rsid w:val="5761557B"/>
    <w:rsid w:val="5769764D"/>
    <w:rsid w:val="57DC320E"/>
    <w:rsid w:val="580546CA"/>
    <w:rsid w:val="581C6D73"/>
    <w:rsid w:val="583A700B"/>
    <w:rsid w:val="589C7791"/>
    <w:rsid w:val="59293C05"/>
    <w:rsid w:val="59562F14"/>
    <w:rsid w:val="595C251F"/>
    <w:rsid w:val="59BD3C65"/>
    <w:rsid w:val="59C66C29"/>
    <w:rsid w:val="59F06C93"/>
    <w:rsid w:val="5A4E5DD1"/>
    <w:rsid w:val="5A77608B"/>
    <w:rsid w:val="5A935A33"/>
    <w:rsid w:val="5AE429CA"/>
    <w:rsid w:val="5B4A26A7"/>
    <w:rsid w:val="5B644ACE"/>
    <w:rsid w:val="5B6D277B"/>
    <w:rsid w:val="5B7E62F3"/>
    <w:rsid w:val="5BBF06F7"/>
    <w:rsid w:val="5BC72A00"/>
    <w:rsid w:val="5BCE0454"/>
    <w:rsid w:val="5C1E28CA"/>
    <w:rsid w:val="5C2D4455"/>
    <w:rsid w:val="5C765809"/>
    <w:rsid w:val="5C8D2797"/>
    <w:rsid w:val="5CB75A34"/>
    <w:rsid w:val="5D350C9E"/>
    <w:rsid w:val="5D3F66DF"/>
    <w:rsid w:val="5D7923F2"/>
    <w:rsid w:val="5D7F54B7"/>
    <w:rsid w:val="5D844DD6"/>
    <w:rsid w:val="5DAF116F"/>
    <w:rsid w:val="5DEB21C2"/>
    <w:rsid w:val="5DEE4995"/>
    <w:rsid w:val="5E091E80"/>
    <w:rsid w:val="5EE1753A"/>
    <w:rsid w:val="5EE44D17"/>
    <w:rsid w:val="5F101F0C"/>
    <w:rsid w:val="5F2C22D4"/>
    <w:rsid w:val="5F7F3866"/>
    <w:rsid w:val="5FB30ED6"/>
    <w:rsid w:val="5FB47604"/>
    <w:rsid w:val="5FB709F3"/>
    <w:rsid w:val="5FF24A5B"/>
    <w:rsid w:val="5FF44F2C"/>
    <w:rsid w:val="600B192C"/>
    <w:rsid w:val="602457F4"/>
    <w:rsid w:val="603B4F3C"/>
    <w:rsid w:val="60F3167A"/>
    <w:rsid w:val="61177D67"/>
    <w:rsid w:val="61462F54"/>
    <w:rsid w:val="6153787F"/>
    <w:rsid w:val="616F24D5"/>
    <w:rsid w:val="61780C57"/>
    <w:rsid w:val="618401B1"/>
    <w:rsid w:val="61AB3C64"/>
    <w:rsid w:val="61B80A69"/>
    <w:rsid w:val="61D8482B"/>
    <w:rsid w:val="623E69CE"/>
    <w:rsid w:val="62F23070"/>
    <w:rsid w:val="630B5564"/>
    <w:rsid w:val="632D4463"/>
    <w:rsid w:val="633A0552"/>
    <w:rsid w:val="633C437F"/>
    <w:rsid w:val="635C6D42"/>
    <w:rsid w:val="63786FD7"/>
    <w:rsid w:val="63A7498A"/>
    <w:rsid w:val="63AF0594"/>
    <w:rsid w:val="645A4838"/>
    <w:rsid w:val="64647CE4"/>
    <w:rsid w:val="649D60DF"/>
    <w:rsid w:val="649F4DF8"/>
    <w:rsid w:val="64DE2E29"/>
    <w:rsid w:val="651A4B81"/>
    <w:rsid w:val="653C3084"/>
    <w:rsid w:val="6543195F"/>
    <w:rsid w:val="65520AFD"/>
    <w:rsid w:val="65711CEE"/>
    <w:rsid w:val="658E3257"/>
    <w:rsid w:val="65E41973"/>
    <w:rsid w:val="661E366F"/>
    <w:rsid w:val="661F52D0"/>
    <w:rsid w:val="663B1C25"/>
    <w:rsid w:val="664B3DE3"/>
    <w:rsid w:val="66BD6A6C"/>
    <w:rsid w:val="66F54B32"/>
    <w:rsid w:val="674C6C0B"/>
    <w:rsid w:val="67620D72"/>
    <w:rsid w:val="677D28F8"/>
    <w:rsid w:val="67877947"/>
    <w:rsid w:val="67A15FBB"/>
    <w:rsid w:val="67B95635"/>
    <w:rsid w:val="67BC03A5"/>
    <w:rsid w:val="67E62644"/>
    <w:rsid w:val="687F0BB6"/>
    <w:rsid w:val="69256D6B"/>
    <w:rsid w:val="69E36BDC"/>
    <w:rsid w:val="69EB63D3"/>
    <w:rsid w:val="6A7807F0"/>
    <w:rsid w:val="6A8E443D"/>
    <w:rsid w:val="6A963D50"/>
    <w:rsid w:val="6AA4051C"/>
    <w:rsid w:val="6ACD5847"/>
    <w:rsid w:val="6AEA58F8"/>
    <w:rsid w:val="6AFF7B04"/>
    <w:rsid w:val="6B237FEF"/>
    <w:rsid w:val="6B2B1F2B"/>
    <w:rsid w:val="6B762EC5"/>
    <w:rsid w:val="6C324700"/>
    <w:rsid w:val="6C897464"/>
    <w:rsid w:val="6CAD2067"/>
    <w:rsid w:val="6CB2295D"/>
    <w:rsid w:val="6CC44DEF"/>
    <w:rsid w:val="6D8B5109"/>
    <w:rsid w:val="6D9739CD"/>
    <w:rsid w:val="6DA3655D"/>
    <w:rsid w:val="6DB513BC"/>
    <w:rsid w:val="6DC6232D"/>
    <w:rsid w:val="6DFD02A8"/>
    <w:rsid w:val="6E3B3D55"/>
    <w:rsid w:val="6E4149B7"/>
    <w:rsid w:val="6E5F051A"/>
    <w:rsid w:val="6E66782F"/>
    <w:rsid w:val="6E824981"/>
    <w:rsid w:val="6EAF042D"/>
    <w:rsid w:val="6ECE341F"/>
    <w:rsid w:val="6ED73DDA"/>
    <w:rsid w:val="6EED2C4D"/>
    <w:rsid w:val="6EF814AD"/>
    <w:rsid w:val="6F0B3590"/>
    <w:rsid w:val="6F4D4C8B"/>
    <w:rsid w:val="6F7608D3"/>
    <w:rsid w:val="6F762338"/>
    <w:rsid w:val="6F850EEE"/>
    <w:rsid w:val="6FE6275F"/>
    <w:rsid w:val="704D37B0"/>
    <w:rsid w:val="70656D6E"/>
    <w:rsid w:val="70A9696F"/>
    <w:rsid w:val="70D21CA7"/>
    <w:rsid w:val="70DA1BDC"/>
    <w:rsid w:val="70EE2361"/>
    <w:rsid w:val="710D5C7E"/>
    <w:rsid w:val="71542477"/>
    <w:rsid w:val="717E4DC0"/>
    <w:rsid w:val="718D3139"/>
    <w:rsid w:val="71B47D75"/>
    <w:rsid w:val="71F57707"/>
    <w:rsid w:val="721B0F09"/>
    <w:rsid w:val="722872EA"/>
    <w:rsid w:val="722A5871"/>
    <w:rsid w:val="72380732"/>
    <w:rsid w:val="7294592D"/>
    <w:rsid w:val="72CF1FA9"/>
    <w:rsid w:val="733076AC"/>
    <w:rsid w:val="73553021"/>
    <w:rsid w:val="73B2211D"/>
    <w:rsid w:val="740C2454"/>
    <w:rsid w:val="742357CA"/>
    <w:rsid w:val="744046F5"/>
    <w:rsid w:val="7454322F"/>
    <w:rsid w:val="748B0F7C"/>
    <w:rsid w:val="74C83EFE"/>
    <w:rsid w:val="74D06866"/>
    <w:rsid w:val="7569706E"/>
    <w:rsid w:val="7576073E"/>
    <w:rsid w:val="75AF0759"/>
    <w:rsid w:val="75C21C33"/>
    <w:rsid w:val="75CF0B19"/>
    <w:rsid w:val="76740567"/>
    <w:rsid w:val="771E7E5D"/>
    <w:rsid w:val="778C7E95"/>
    <w:rsid w:val="77B82502"/>
    <w:rsid w:val="77F61B3B"/>
    <w:rsid w:val="7839277E"/>
    <w:rsid w:val="784526AC"/>
    <w:rsid w:val="7859274D"/>
    <w:rsid w:val="78906BD1"/>
    <w:rsid w:val="78910F51"/>
    <w:rsid w:val="789A420D"/>
    <w:rsid w:val="78AD45D7"/>
    <w:rsid w:val="78DE2878"/>
    <w:rsid w:val="7959602E"/>
    <w:rsid w:val="798E0AF9"/>
    <w:rsid w:val="798F1B81"/>
    <w:rsid w:val="79A522AE"/>
    <w:rsid w:val="79D47118"/>
    <w:rsid w:val="79E9735F"/>
    <w:rsid w:val="79F515F9"/>
    <w:rsid w:val="7A4B7893"/>
    <w:rsid w:val="7A79053F"/>
    <w:rsid w:val="7A7F496A"/>
    <w:rsid w:val="7A844B1F"/>
    <w:rsid w:val="7A871182"/>
    <w:rsid w:val="7AC82799"/>
    <w:rsid w:val="7AD27F7F"/>
    <w:rsid w:val="7AF447C6"/>
    <w:rsid w:val="7B4F7CE5"/>
    <w:rsid w:val="7B5F0286"/>
    <w:rsid w:val="7B8A039A"/>
    <w:rsid w:val="7BCA0FA9"/>
    <w:rsid w:val="7C381082"/>
    <w:rsid w:val="7C3D75B4"/>
    <w:rsid w:val="7C596C3E"/>
    <w:rsid w:val="7C64726A"/>
    <w:rsid w:val="7C8B1E49"/>
    <w:rsid w:val="7CBD56AD"/>
    <w:rsid w:val="7CCB706B"/>
    <w:rsid w:val="7D462911"/>
    <w:rsid w:val="7D4A7708"/>
    <w:rsid w:val="7D545542"/>
    <w:rsid w:val="7D5E4497"/>
    <w:rsid w:val="7E7B673D"/>
    <w:rsid w:val="7E8452AA"/>
    <w:rsid w:val="7EEA1495"/>
    <w:rsid w:val="7F210755"/>
    <w:rsid w:val="7F316A84"/>
    <w:rsid w:val="7F4F6913"/>
    <w:rsid w:val="7F906AF8"/>
    <w:rsid w:val="7FAF7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rPr>
      <w:sz w:val="30"/>
    </w:rPr>
  </w:style>
  <w:style w:type="paragraph" w:styleId="3">
    <w:name w:val="Body Text Indent"/>
    <w:basedOn w:val="1"/>
    <w:autoRedefine/>
    <w:qFormat/>
    <w:uiPriority w:val="0"/>
    <w:pPr>
      <w:spacing w:after="120"/>
      <w:ind w:left="420" w:leftChars="200"/>
    </w:pPr>
    <w:rPr>
      <w:rFonts w:ascii="Times New Roman" w:hAnsi="Times New Roman"/>
    </w:rPr>
  </w:style>
  <w:style w:type="paragraph" w:styleId="4">
    <w:name w:val="Body Text First Indent 2"/>
    <w:basedOn w:val="3"/>
    <w:autoRedefine/>
    <w:qFormat/>
    <w:uiPriority w:val="0"/>
    <w:pPr>
      <w:ind w:firstLine="420" w:firstLineChars="200"/>
    </w:p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标准文件_段"/>
    <w:autoRedefine/>
    <w:qFormat/>
    <w:uiPriority w:val="0"/>
    <w:pPr>
      <w:ind w:firstLine="960" w:firstLineChars="200"/>
      <w:jc w:val="both"/>
    </w:pPr>
    <w:rPr>
      <w:rFonts w:hint="eastAsia" w:ascii="宋体" w:hAnsi="Times New Roman" w:eastAsia="宋体" w:cs="宋体"/>
      <w:sz w:val="21"/>
    </w:rPr>
  </w:style>
  <w:style w:type="paragraph" w:customStyle="1" w:styleId="9">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2429</Words>
  <Characters>3095</Characters>
  <Lines>0</Lines>
  <Paragraphs>0</Paragraphs>
  <TotalTime>6</TotalTime>
  <ScaleCrop>false</ScaleCrop>
  <LinksUpToDate>false</LinksUpToDate>
  <CharactersWithSpaces>3121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2022-09-06T10:21:00Z</dcterms:created>
  <dc:creator>陈亚茹</dc:creator>
  <cp:lastModifiedBy>jiangshui</cp:lastModifiedBy>
  <cp:lastPrinted>2023-06-01T00:47:00Z</cp:lastPrinted>
  <dcterms:modified xsi:type="dcterms:W3CDTF">2024-12-02T06:52:56Z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8BF282FEBE104FF9AB13198AFCB3C920_13</vt:lpwstr>
  </property>
</Properties>
</file>